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64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8A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spacing w:after="0" w:before="240"/>
            </w:pPr>
          </w:p>
          <w:tbl>
            <w:tblPr>
              <w:tblW w:type="dxa" w:w="3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</w:tblGrid>
            <w:tr>
              <w:tc>
                <w:tcPr>
                  <w:tcW w:type="dxa" w:w="3200"/>
                  <w:tcBorders>
                    <w:top w:val="single" w:color="FBBF24" w:sz="12"/>
                    <w:left w:val="single" w:color="FBBF24" w:sz="12"/>
                    <w:bottom w:val="single" w:color="FBBF24" w:sz="12"/>
                    <w:right w:val="single" w:color="FBBF24" w:sz="12"/>
                  </w:tcBorders>
                  <w:shd w:fill="1E40A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FFD97D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FD97D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FFD97D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20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36"/>
                <w:szCs w:val="36"/>
              </w:rPr>
              <w:t xml:space="preserve">FRANCESCA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BBF24"/>
                <w:sz w:val="36"/>
                <w:szCs w:val="36"/>
              </w:rPr>
              <w:t xml:space="preserve">ROMANO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8"/>
                <w:szCs w:val="18"/>
              </w:rPr>
              <w:t xml:space="preserve">Chief Strategy Officer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BBF24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FBBF24"/>
                <w:sz w:val="18"/>
                <w:szCs w:val="18"/>
              </w:rPr>
              <w:t xml:space="preserve">f.romano@strategyco.com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BBF24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FBBF24"/>
                <w:sz w:val="18"/>
                <w:szCs w:val="18"/>
              </w:rPr>
              <w:t xml:space="preserve">+39 02 555 0201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BBF24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FBBF24"/>
                <w:sz w:val="18"/>
                <w:szCs w:val="18"/>
              </w:rPr>
              <w:t xml:space="preserve">Milan, Italy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FBBF24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FBBF24"/>
                <w:sz w:val="18"/>
                <w:szCs w:val="18"/>
              </w:rPr>
              <w:t xml:space="preserve">linkedin.com/in/francescaromano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BF24"/>
                <w:spacing w:val="80"/>
                <w:sz w:val="16"/>
                <w:szCs w:val="16"/>
              </w:rPr>
              <w:t xml:space="preserve">EXPERTISE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Corporate Strategy  </w:t>
            </w:r>
            <w:r>
              <w:rPr>
                <w:rFonts w:ascii="Arial" w:cs="Arial" w:eastAsia="Arial" w:hAnsi="Arial"/>
                <w:color w:val="FBBF24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M&amp;A Integration  </w:t>
            </w:r>
            <w:r>
              <w:rPr>
                <w:rFonts w:ascii="Arial" w:cs="Arial" w:eastAsia="Arial" w:hAnsi="Arial"/>
                <w:color w:val="FBBF24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Market Expansion  </w:t>
            </w:r>
            <w:r>
              <w:rPr>
                <w:rFonts w:ascii="Arial" w:cs="Arial" w:eastAsia="Arial" w:hAnsi="Arial"/>
                <w:color w:val="FBBF24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Board Advisory  </w:t>
            </w:r>
            <w:r>
              <w:rPr>
                <w:rFonts w:ascii="Arial" w:cs="Arial" w:eastAsia="Arial" w:hAnsi="Arial"/>
                <w:color w:val="FBBF24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OKR Frameworks  </w:t>
            </w:r>
            <w:r>
              <w:rPr>
                <w:rFonts w:ascii="Arial" w:cs="Arial" w:eastAsia="Arial" w:hAnsi="Arial"/>
                <w:color w:val="FBBF24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1E3A8A"/>
                <w:sz w:val="14"/>
                <w:szCs w:val="14"/>
              </w:rPr>
              <w:t xml:space="preserve">□□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BF24"/>
                <w:spacing w:val="80"/>
                <w:sz w:val="16"/>
                <w:szCs w:val="16"/>
              </w:rPr>
              <w:t xml:space="preserve">LANGUAGES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7"/>
                <w:szCs w:val="17"/>
              </w:rPr>
              <w:t xml:space="preserve">Italian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7"/>
                <w:szCs w:val="17"/>
              </w:rPr>
              <w:t xml:space="preserve">English — C2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7"/>
                <w:szCs w:val="17"/>
              </w:rPr>
              <w:t xml:space="preserve">French — C1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7"/>
                <w:szCs w:val="17"/>
              </w:rPr>
              <w:t xml:space="preserve">German — B2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BF24"/>
                <w:spacing w:val="80"/>
                <w:sz w:val="16"/>
                <w:szCs w:val="16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MBA — INSEAD, Fontainebleau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3C5FD"/>
                <w:sz w:val="15"/>
                <w:szCs w:val="15"/>
              </w:rPr>
              <w:t xml:space="preserve">2007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B.Sc. Economics — Bocconi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3C5FD"/>
                <w:sz w:val="15"/>
                <w:szCs w:val="15"/>
              </w:rPr>
              <w:t xml:space="preserve">2004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FBBF24"/>
                <w:spacing w:val="80"/>
                <w:sz w:val="16"/>
                <w:szCs w:val="16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6"/>
                <w:szCs w:val="16"/>
              </w:rPr>
              <w:t xml:space="preserve">▸ McKinsey Strategy Cert.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6"/>
                <w:szCs w:val="16"/>
              </w:rPr>
              <w:t xml:space="preserve">▸ Prosci Change Management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FDBFE"/>
                <w:sz w:val="16"/>
                <w:szCs w:val="16"/>
              </w:rPr>
              <w:t xml:space="preserve">▸ Board Director – NACD</w:t>
            </w:r>
          </w:p>
          <w:p>
            <w:pPr>
              <w:spacing w:after="0" w:before="300"/>
            </w:pP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24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E3A8A"/>
                <w:sz w:val="64"/>
                <w:szCs w:val="64"/>
              </w:rPr>
              <w:t xml:space="preserve">FRANCESCA ROMANO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BBF24"/>
                <w:sz w:val="21"/>
                <w:szCs w:val="21"/>
              </w:rPr>
              <w:t xml:space="preserve">Chief Strategy Officer · Growth &amp; Corporate Development</w:t>
            </w:r>
          </w:p>
          <w:p>
            <w:pPr>
              <w:pBdr>
                <w:bottom w:val="single" w:color="FBBF24" w:sz="6" w:space="1"/>
              </w:pBdr>
              <w:spacing w:after="80" w:before="20"/>
            </w:pP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Seasoned CSO with 18 years shaping corporate strategy and leading growth initiatives for European and global multinationals. Expert in M&amp;A, new market entry, and digital transformation. Former McKinsey Partner.</w:t>
            </w:r>
          </w:p>
          <w:tbl>
            <w:tblPr>
              <w:tblW w:type="dxa" w:w="8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60"/>
              <w:gridCol w:w="2160"/>
              <w:gridCol w:w="2160"/>
              <w:gridCol w:w="2160"/>
            </w:tblGrid>
            <w:tr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8A"/>
                      <w:sz w:val="40"/>
                      <w:szCs w:val="40"/>
                    </w:rPr>
                    <w:t xml:space="preserve">18+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Years Strategy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8A"/>
                      <w:sz w:val="40"/>
                      <w:szCs w:val="40"/>
                    </w:rPr>
                    <w:t xml:space="preserve">€4.2Bn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M&amp;A Supervised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8A"/>
                      <w:sz w:val="40"/>
                      <w:szCs w:val="40"/>
                    </w:rPr>
                    <w:t xml:space="preserve">12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Countries Led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8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1E3A8A"/>
                      <w:sz w:val="40"/>
                      <w:szCs w:val="40"/>
                    </w:rPr>
                    <w:t xml:space="preserve">3x</w:t>
                  </w:r>
                </w:p>
                <w:p>
                  <w:pPr>
                    <w:spacing w:after="8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Revenue Growth</w:t>
                  </w:r>
                </w:p>
              </w:tc>
            </w:tr>
          </w:tbl>
          <w:p>
            <w:pPr>
              <w:pBdr>
                <w:bottom w:val="single" w:color="1E3A8A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1E3A8A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FBBF24"/>
                <w:sz w:val="22"/>
                <w:szCs w:val="22"/>
              </w:rPr>
              <w:t xml:space="preserve">Chief Strategy Officer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Luxottica Group (EssilorLuxottica), Milan · 2020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Architected 5-year Group strategy reshaping the €22Bn eyewear division into 3 global platforms.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acquisition and integration of 4 DTC brands (combined value €1.4Bn).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18-person Strategy function from scratch; deployed OKR framework across 90,000 employees.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FBBF24"/>
                <w:sz w:val="22"/>
                <w:szCs w:val="22"/>
              </w:rPr>
              <w:t xml:space="preserve">Partner, Corporate Strategy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McKinsey &amp; Company, Milan / London · 2010 – 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60+ strategy engagements for FTSE 100 and Fortune 500 clients across 12 industries.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Founded McKinsey's Italian Innovation &amp; Digital Practice.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FBBF24"/>
                <w:sz w:val="22"/>
                <w:szCs w:val="22"/>
              </w:rPr>
              <w:t xml:space="preserve">Associate Principal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McKinsey &amp; Company, Paris · 2007 – 2010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Strategy and M&amp;A projects for luxury, consumer goods, and financial services sectors.</w:t>
            </w:r>
          </w:p>
          <w:p>
            <w:pPr>
              <w:pBdr>
                <w:bottom w:val="single" w:color="1E3A8A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1E3A8A"/>
                <w:sz w:val="20"/>
                <w:szCs w:val="20"/>
              </w:rPr>
              <w:t xml:space="preserve">BOARD &amp; ADVISORY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Independent Director — Brunello Cucinelli SpA (BIT: BC)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Advisory Board — EQT Partners (Stockholm)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World Economic Forum Young Global Leader 2016</w:t>
            </w:r>
          </w:p>
          <w:p>
            <w:pPr>
              <w:spacing w:after="0" w:before="24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2026-05-15T15:53:46.562Z</dcterms:created>
  <dcterms:modified xsi:type="dcterms:W3CDTF">2026-05-15T15:53:46.581Z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