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8840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F1239" w:val="clear"/>
            <w:tcMar>
              <w:top w:type="dxa" w:w="360"/>
              <w:left w:type="dxa" w:w="360"/>
              <w:bottom w:type="dxa" w:w="360"/>
              <w:right w:type="dxa" w:w="360"/>
            </w:tcMar>
          </w:tcPr>
          <w:p>
            <w:pPr>
              <w:spacing w:after="0" w:before="260"/>
            </w:pPr>
          </w:p>
          <w:tbl>
            <w:tblPr>
              <w:tblW w:type="dxa" w:w="26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80"/>
            </w:tblGrid>
            <w:tr>
              <w:tc>
                <w:tcPr>
                  <w:tcW w:type="dxa" w:w="2680"/>
                  <w:tcBorders>
                    <w:top w:val="single" w:color="9F1239" w:sz="12"/>
                    <w:left w:val="single" w:color="9F1239" w:sz="12"/>
                    <w:bottom w:val="single" w:color="9F1239" w:sz="12"/>
                    <w:right w:val="single" w:color="9F1239" w:sz="12"/>
                  </w:tcBorders>
                  <w:shd w:fill="B91C1C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120"/>
                    <w:jc w:val="center"/>
                  </w:pPr>
                  <w:r>
                    <w:rPr>
                      <w:rFonts w:ascii="Segoe UI Emoji" w:cs="Segoe UI Emoji" w:eastAsia="Segoe UI Emoji" w:hAnsi="Segoe UI Emoji"/>
                      <w:b w:val="false"/>
                      <w:bCs w:val="false"/>
                      <w:i w:val="false"/>
                      <w:iCs w:val="false"/>
                      <w:caps w:val="false"/>
                      <w:color w:val="FFE4E6"/>
                      <w:sz w:val="72"/>
                      <w:szCs w:val="72"/>
                    </w:rPr>
                    <w:t xml:space="preserve">👤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FFE4E6"/>
                      <w:spacing w:val="80"/>
                      <w:sz w:val="15"/>
                      <w:szCs w:val="15"/>
                    </w:rPr>
                    <w:t xml:space="preserve">YOUR PHOTO</w:t>
                  </w:r>
                </w:p>
                <w:p>
                  <w:pPr>
                    <w:spacing w:after="12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FFE4E6"/>
                      <w:sz w:val="14"/>
                      <w:szCs w:val="14"/>
                    </w:rPr>
                    <w:t xml:space="preserve">Click to replace</w:t>
                  </w:r>
                </w:p>
              </w:tc>
            </w:tr>
          </w:tbl>
          <w:p>
            <w:pPr>
              <w:spacing w:after="0" w:before="180"/>
            </w:pP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36"/>
                <w:szCs w:val="36"/>
              </w:rPr>
              <w:t xml:space="preserve">CHIARA</w:t>
            </w:r>
          </w:p>
          <w:p>
            <w:pPr>
              <w:spacing w:after="16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DA4AF"/>
                <w:sz w:val="36"/>
                <w:szCs w:val="36"/>
              </w:rPr>
              <w:t xml:space="preserve">FERRETTI</w:t>
            </w:r>
          </w:p>
          <w:p>
            <w:pPr>
              <w:spacing w:after="2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8"/>
                <w:szCs w:val="18"/>
              </w:rPr>
              <w:t xml:space="preserve">Brand Strategist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DA4AF"/>
                <w:sz w:val="18"/>
                <w:szCs w:val="18"/>
              </w:rPr>
              <w:t xml:space="preserve">✉  </w:t>
            </w:r>
            <w:r>
              <w:rPr>
                <w:rFonts w:ascii="Calibri" w:cs="Calibri" w:eastAsia="Calibri" w:hAnsi="Calibri"/>
                <w:color w:val="FDA4AF"/>
                <w:sz w:val="18"/>
                <w:szCs w:val="18"/>
              </w:rPr>
              <w:t xml:space="preserve">chiara@brandcraft.eu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DA4AF"/>
                <w:sz w:val="18"/>
                <w:szCs w:val="18"/>
              </w:rPr>
              <w:t xml:space="preserve">☎  </w:t>
            </w:r>
            <w:r>
              <w:rPr>
                <w:rFonts w:ascii="Calibri" w:cs="Calibri" w:eastAsia="Calibri" w:hAnsi="Calibri"/>
                <w:color w:val="FDA4AF"/>
                <w:sz w:val="18"/>
                <w:szCs w:val="18"/>
              </w:rPr>
              <w:t xml:space="preserve">+39 06 555-0208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DA4AF"/>
                <w:sz w:val="18"/>
                <w:szCs w:val="18"/>
              </w:rPr>
              <w:t xml:space="preserve">⌂  </w:t>
            </w:r>
            <w:r>
              <w:rPr>
                <w:rFonts w:ascii="Calibri" w:cs="Calibri" w:eastAsia="Calibri" w:hAnsi="Calibri"/>
                <w:color w:val="FDA4AF"/>
                <w:sz w:val="18"/>
                <w:szCs w:val="18"/>
              </w:rPr>
              <w:t xml:space="preserve">Rome / Milan, Italy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DA4AF"/>
                <w:sz w:val="18"/>
                <w:szCs w:val="18"/>
              </w:rPr>
              <w:t xml:space="preserve">⦿  </w:t>
            </w:r>
            <w:r>
              <w:rPr>
                <w:rFonts w:ascii="Calibri" w:cs="Calibri" w:eastAsia="Calibri" w:hAnsi="Calibri"/>
                <w:color w:val="FDA4AF"/>
                <w:sz w:val="18"/>
                <w:szCs w:val="18"/>
              </w:rPr>
              <w:t xml:space="preserve">chiaraferretti.com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DA4AF"/>
                <w:spacing w:val="80"/>
                <w:sz w:val="16"/>
                <w:szCs w:val="16"/>
              </w:rPr>
              <w:t xml:space="preserve">SKILLS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Brand Architecture  </w:t>
            </w:r>
            <w:r>
              <w:rPr>
                <w:rFonts w:ascii="Arial" w:cs="Arial" w:eastAsia="Arial" w:hAnsi="Arial"/>
                <w:color w:val="FDA4AF"/>
                <w:sz w:val="14"/>
                <w:szCs w:val="14"/>
              </w:rPr>
              <w:t xml:space="preserve">■■■■■■■■■■</w:t>
            </w:r>
            <w:r>
              <w:rPr>
                <w:rFonts w:ascii="Arial" w:cs="Arial" w:eastAsia="Arial" w:hAnsi="Arial"/>
                <w:color w:val="7F0024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Consumer Insight  </w:t>
            </w:r>
            <w:r>
              <w:rPr>
                <w:rFonts w:ascii="Arial" w:cs="Arial" w:eastAsia="Arial" w:hAnsi="Arial"/>
                <w:color w:val="FDA4AF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7F0024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Creative Strategy  </w:t>
            </w:r>
            <w:r>
              <w:rPr>
                <w:rFonts w:ascii="Arial" w:cs="Arial" w:eastAsia="Arial" w:hAnsi="Arial"/>
                <w:color w:val="FDA4AF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7F0024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Campaign Management  </w:t>
            </w:r>
            <w:r>
              <w:rPr>
                <w:rFonts w:ascii="Arial" w:cs="Arial" w:eastAsia="Arial" w:hAnsi="Arial"/>
                <w:color w:val="FDA4AF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7F0024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Social &amp; Influencer  </w:t>
            </w:r>
            <w:r>
              <w:rPr>
                <w:rFonts w:ascii="Arial" w:cs="Arial" w:eastAsia="Arial" w:hAnsi="Arial"/>
                <w:color w:val="FDA4AF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7F0024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Licensing &amp; Partnerships  </w:t>
            </w:r>
            <w:r>
              <w:rPr>
                <w:rFonts w:ascii="Arial" w:cs="Arial" w:eastAsia="Arial" w:hAnsi="Arial"/>
                <w:color w:val="FDA4AF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7F0024"/>
                <w:sz w:val="14"/>
                <w:szCs w:val="14"/>
              </w:rPr>
              <w:t xml:space="preserve">□□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DA4AF"/>
                <w:spacing w:val="80"/>
                <w:sz w:val="16"/>
                <w:szCs w:val="16"/>
              </w:rPr>
              <w:t xml:space="preserve">TOOLS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6"/>
                <w:szCs w:val="16"/>
              </w:rPr>
              <w:t xml:space="preserve">▸ Google Analytics 4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6"/>
                <w:szCs w:val="16"/>
              </w:rPr>
              <w:t xml:space="preserve">▸ Salesforce Marketing Cloud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6"/>
                <w:szCs w:val="16"/>
              </w:rPr>
              <w:t xml:space="preserve">▸ Brandwatch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6"/>
                <w:szCs w:val="16"/>
              </w:rPr>
              <w:t xml:space="preserve">▸ Figma (wireframes)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6"/>
                <w:szCs w:val="16"/>
              </w:rPr>
              <w:t xml:space="preserve">▸ Asana / Notion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DA4AF"/>
                <w:spacing w:val="80"/>
                <w:sz w:val="16"/>
                <w:szCs w:val="16"/>
              </w:rPr>
              <w:t xml:space="preserve">EDUCATION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M.Sc. Marketing Strategy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5"/>
                <w:szCs w:val="15"/>
              </w:rPr>
              <w:t xml:space="preserve">Bocconi University · 2012</w:t>
            </w:r>
          </w:p>
          <w:p>
            <w:pPr>
              <w:spacing w:after="4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B.A. Communication &amp; Media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5"/>
                <w:szCs w:val="15"/>
              </w:rPr>
              <w:t xml:space="preserve">LUISS Guido Carli, Rome · 2009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DA4AF"/>
                <w:spacing w:val="80"/>
                <w:sz w:val="16"/>
                <w:szCs w:val="16"/>
              </w:rPr>
              <w:t xml:space="preserve">CERTIFICATIONS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5"/>
                <w:szCs w:val="15"/>
              </w:rPr>
              <w:t xml:space="preserve">▸ Meta Blueprint Certified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5"/>
                <w:szCs w:val="15"/>
              </w:rPr>
              <w:t xml:space="preserve">▸ Google Mktg Platform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5"/>
                <w:szCs w:val="15"/>
              </w:rPr>
              <w:t xml:space="preserve">▸ Brand Finance Practitioner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5"/>
                <w:szCs w:val="15"/>
              </w:rPr>
              <w:t xml:space="preserve">▸ CIM Chartered Marketer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DA4AF"/>
                <w:spacing w:val="80"/>
                <w:sz w:val="16"/>
                <w:szCs w:val="16"/>
              </w:rPr>
              <w:t xml:space="preserve">LANGUAGES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5"/>
                <w:szCs w:val="15"/>
              </w:rPr>
              <w:t xml:space="preserve">Italian — Native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5"/>
                <w:szCs w:val="15"/>
              </w:rPr>
              <w:t xml:space="preserve">English — C2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5"/>
                <w:szCs w:val="15"/>
              </w:rPr>
              <w:t xml:space="preserve">French — C1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CDD3"/>
                <w:sz w:val="15"/>
                <w:szCs w:val="15"/>
              </w:rPr>
              <w:t xml:space="preserve">Spanish — B2</w:t>
            </w:r>
          </w:p>
          <w:p>
            <w:pPr>
              <w:spacing w:after="0" w:before="280"/>
            </w:pPr>
          </w:p>
        </w:tc>
        <w:tc>
          <w:tcPr>
            <w:tcW w:type="dxa" w:w="8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1F2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0" w:before="260"/>
            </w:pPr>
          </w:p>
          <w:tbl>
            <w:tblPr>
              <w:tblW w:type="dxa" w:w="8838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946"/>
              <w:gridCol w:w="2946"/>
              <w:gridCol w:w="2946"/>
            </w:tblGrid>
            <w:tr>
              <w:tc>
                <w:tcPr>
                  <w:tcW w:type="dxa" w:w="29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1F2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9F1239"/>
                      <w:sz w:val="40"/>
                      <w:szCs w:val="40"/>
                    </w:rPr>
                    <w:t xml:space="preserve">€320M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4"/>
                      <w:szCs w:val="14"/>
                    </w:rPr>
                    <w:t xml:space="preserve">Brand Revenue Managed</w:t>
                  </w:r>
                </w:p>
              </w:tc>
              <w:tc>
                <w:tcPr>
                  <w:tcW w:type="dxa" w:w="29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1F2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9F1239"/>
                      <w:sz w:val="40"/>
                      <w:szCs w:val="40"/>
                    </w:rPr>
                    <w:t xml:space="preserve">12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4"/>
                      <w:szCs w:val="14"/>
                    </w:rPr>
                    <w:t xml:space="preserve">Global Brand Launches</w:t>
                  </w:r>
                </w:p>
              </w:tc>
              <w:tc>
                <w:tcPr>
                  <w:tcW w:type="dxa" w:w="29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1F2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9F1239"/>
                      <w:sz w:val="40"/>
                      <w:szCs w:val="40"/>
                    </w:rPr>
                    <w:t xml:space="preserve">28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4"/>
                      <w:szCs w:val="14"/>
                    </w:rPr>
                    <w:t xml:space="preserve">Agency Awards</w:t>
                  </w:r>
                </w:p>
              </w:tc>
            </w:tr>
          </w:tbl>
          <w:p>
            <w:pPr>
              <w:spacing w:after="0" w:before="120"/>
            </w:pPr>
          </w:p>
          <w:p>
            <w:pPr>
              <w:pBdr>
                <w:bottom w:val="single" w:color="9F1239" w:sz="6" w:space="1"/>
              </w:pBdr>
              <w:spacing w:after="80" w:before="0"/>
            </w:pPr>
          </w:p>
          <w:p>
            <w:pPr>
              <w:spacing w:after="18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Award-winning brand strategist with 14 years building iconic consumer brands across luxury, beauty, and lifestyle sectors for global corporations and independent agencies.</w:t>
            </w:r>
          </w:p>
          <w:p>
            <w:pPr>
              <w:pBdr>
                <w:bottom w:val="single" w:color="9F1239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9F1239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9F1239"/>
                <w:sz w:val="22"/>
                <w:szCs w:val="22"/>
              </w:rPr>
              <w:t xml:space="preserve">Head of Brand Strategy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Bulgari (LVMH), Rome / Milan · 2020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global repositioning of Bulgari Fine Jewellery, contributing to 34% revenue uplift.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Launched 'Forever Roma' campaign: 180M impressions, 4 Cannes Lions shortlist nominations.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Managed €42M brand investment budget across 28 markets.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9F1239"/>
                <w:sz w:val="22"/>
                <w:szCs w:val="22"/>
              </w:rPr>
              <w:t xml:space="preserve">Brand Strategy Director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Publicis Italy, Milan · 2015 – 2020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Created brand strategies for Gucci, Ferrero, and Samsung across European markets.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Won 12 agency awards including Cannes Lions Bronze and EFFIE Gold.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9F1239"/>
                <w:sz w:val="22"/>
                <w:szCs w:val="22"/>
              </w:rPr>
              <w:t xml:space="preserve">Senior Brand Manager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Unilever Italy, Milan · 2012 – 2015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Managed Dove brand portfolio in Italy; grew market share 4 pp in 2 years.</w:t>
            </w:r>
          </w:p>
          <w:p>
            <w:pPr>
              <w:pBdr>
                <w:bottom w:val="single" w:color="9F1239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9F1239"/>
                <w:sz w:val="20"/>
                <w:szCs w:val="20"/>
              </w:rPr>
              <w:t xml:space="preserve">AWARDS</w:t>
            </w:r>
          </w:p>
          <w:p>
            <w:pPr>
              <w:spacing w:after="36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Cannes Lions Bronze — Brand Experience 2023</w:t>
            </w:r>
          </w:p>
          <w:p>
            <w:pPr>
              <w:spacing w:after="36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EFFIE Gold — Brand Strategy 2022</w:t>
            </w:r>
          </w:p>
          <w:p>
            <w:pPr>
              <w:spacing w:after="36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Forbes Italy — 40 Under 40 Marketing 2021</w:t>
            </w:r>
          </w:p>
          <w:p>
            <w:pPr>
              <w:spacing w:after="0" w:before="26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2026-05-15T15:53:47.176Z</dcterms:created>
  <dcterms:modified xsi:type="dcterms:W3CDTF">2026-05-15T15:53:47.176Z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