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64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580C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0" w:before="260"/>
            </w:pPr>
          </w:p>
          <w:p>
            <w:pPr>
              <w:spacing w:after="0" w:before="0"/>
              <w:jc w:val="center"/>
            </w:pPr>
            <w:r>
              <w:rPr>
                <w:rFonts w:ascii="Segoe UI Symbol" w:cs="Segoe UI Symbol" w:eastAsia="Segoe UI Symbol" w:hAnsi="Segoe UI Symbol"/>
                <w:b w:val="false"/>
                <w:bCs w:val="false"/>
                <w:i w:val="false"/>
                <w:iCs w:val="false"/>
                <w:caps w:val="false"/>
                <w:color w:val="FED7AA"/>
                <w:sz w:val="240"/>
                <w:szCs w:val="240"/>
              </w:rPr>
              <w:t xml:space="preserve">◎</w:t>
            </w:r>
          </w:p>
          <w:p>
            <w:pPr>
              <w:spacing w:after="18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BB99"/>
                <w:sz w:val="16"/>
                <w:szCs w:val="16"/>
              </w:rPr>
              <w:t xml:space="preserve">PHOTO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38"/>
                <w:szCs w:val="38"/>
              </w:rPr>
              <w:t xml:space="preserve">MAYA SINGH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ED7AA"/>
                <w:sz w:val="18"/>
                <w:szCs w:val="18"/>
              </w:rPr>
              <w:t xml:space="preserve">Growth Marketing Manager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FD4B0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FFD4B0"/>
                <w:sz w:val="18"/>
                <w:szCs w:val="18"/>
              </w:rPr>
              <w:t xml:space="preserve">maya.singh@growth.io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FD4B0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FFD4B0"/>
                <w:sz w:val="18"/>
                <w:szCs w:val="18"/>
              </w:rPr>
              <w:t xml:space="preserve">+1 (310) 555-0104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FD4B0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FFD4B0"/>
                <w:sz w:val="18"/>
                <w:szCs w:val="18"/>
              </w:rPr>
              <w:t xml:space="preserve">Los Angeles, CA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FD4B0"/>
                <w:sz w:val="18"/>
                <w:szCs w:val="18"/>
              </w:rPr>
              <w:t xml:space="preserve">⦿  </w:t>
            </w:r>
            <w:r>
              <w:rPr>
                <w:rFonts w:ascii="Calibri" w:cs="Calibri" w:eastAsia="Calibri" w:hAnsi="Calibri"/>
                <w:color w:val="FFD4B0"/>
                <w:sz w:val="18"/>
                <w:szCs w:val="18"/>
              </w:rPr>
              <w:t xml:space="preserve">linkedin.com/in/mayasingh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ED7AA"/>
                <w:spacing w:val="80"/>
                <w:sz w:val="17"/>
                <w:szCs w:val="17"/>
              </w:rPr>
              <w:t xml:space="preserve">SKILLS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Performance Marketing  </w:t>
            </w:r>
            <w:r>
              <w:rPr>
                <w:rFonts w:ascii="Arial" w:cs="Arial" w:eastAsia="Arial" w:hAnsi="Arial"/>
                <w:color w:val="EA580C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7C2D12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SEO / Content Strategy  </w:t>
            </w:r>
            <w:r>
              <w:rPr>
                <w:rFonts w:ascii="Arial" w:cs="Arial" w:eastAsia="Arial" w:hAnsi="Arial"/>
                <w:color w:val="EA580C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C2D12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Google / Meta Ads  </w:t>
            </w:r>
            <w:r>
              <w:rPr>
                <w:rFonts w:ascii="Arial" w:cs="Arial" w:eastAsia="Arial" w:hAnsi="Arial"/>
                <w:color w:val="EA580C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C2D12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Email Marketing  </w:t>
            </w:r>
            <w:r>
              <w:rPr>
                <w:rFonts w:ascii="Arial" w:cs="Arial" w:eastAsia="Arial" w:hAnsi="Arial"/>
                <w:color w:val="EA580C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7C2D12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Data Analytics  </w:t>
            </w:r>
            <w:r>
              <w:rPr>
                <w:rFonts w:ascii="Arial" w:cs="Arial" w:eastAsia="Arial" w:hAnsi="Arial"/>
                <w:color w:val="EA580C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7C2D12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CRO Testing  </w:t>
            </w:r>
            <w:r>
              <w:rPr>
                <w:rFonts w:ascii="Arial" w:cs="Arial" w:eastAsia="Arial" w:hAnsi="Arial"/>
                <w:color w:val="EA580C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7C2D12"/>
                <w:sz w:val="14"/>
                <w:szCs w:val="14"/>
              </w:rPr>
              <w:t xml:space="preserve">□□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ED7AA"/>
                <w:spacing w:val="80"/>
                <w:sz w:val="17"/>
                <w:szCs w:val="17"/>
              </w:rPr>
              <w:t xml:space="preserve">TOOLS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7"/>
                <w:szCs w:val="17"/>
              </w:rPr>
              <w:t xml:space="preserve">▸ Google Analytics 4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7"/>
                <w:szCs w:val="17"/>
              </w:rPr>
              <w:t xml:space="preserve">▸ Salesforce Mktg Cloud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7"/>
                <w:szCs w:val="17"/>
              </w:rPr>
              <w:t xml:space="preserve">▸ HubSpot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7"/>
                <w:szCs w:val="17"/>
              </w:rPr>
              <w:t xml:space="preserve">▸ Semrush / Ahrefs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7"/>
                <w:szCs w:val="17"/>
              </w:rPr>
              <w:t xml:space="preserve">▸ Tableau / Looker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ED7AA"/>
                <w:spacing w:val="80"/>
                <w:sz w:val="17"/>
                <w:szCs w:val="17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MBA, Marketing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B380"/>
                <w:sz w:val="16"/>
                <w:szCs w:val="16"/>
              </w:rPr>
              <w:t xml:space="preserve">UCLA Anderson · 2017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B.A. Communications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B380"/>
                <w:sz w:val="16"/>
                <w:szCs w:val="16"/>
              </w:rPr>
              <w:t xml:space="preserve">USC Annenberg · 2014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ED7AA"/>
                <w:spacing w:val="80"/>
                <w:sz w:val="17"/>
                <w:szCs w:val="17"/>
              </w:rPr>
              <w:t xml:space="preserve">CERTIFICATIONS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6"/>
                <w:szCs w:val="16"/>
              </w:rPr>
              <w:t xml:space="preserve">▸ Google Marketing Platform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6"/>
                <w:szCs w:val="16"/>
              </w:rPr>
              <w:t xml:space="preserve">▸ Meta Blueprint Pro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6"/>
                <w:szCs w:val="16"/>
              </w:rPr>
              <w:t xml:space="preserve">▸ HubSpot Marketing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D4B0"/>
                <w:sz w:val="16"/>
                <w:szCs w:val="16"/>
              </w:rPr>
              <w:t xml:space="preserve">▸ CXL Growth Marketing</w:t>
            </w:r>
          </w:p>
          <w:p>
            <w:pPr>
              <w:spacing w:after="0" w:before="260"/>
            </w:pP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F7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0" w:before="260"/>
            </w:pPr>
          </w:p>
          <w:tbl>
            <w:tblPr>
              <w:tblW w:type="dxa" w:w="8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60"/>
              <w:gridCol w:w="2160"/>
              <w:gridCol w:w="2160"/>
              <w:gridCol w:w="2160"/>
            </w:tblGrid>
            <w:tr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EF9C3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EA580C"/>
                      <w:sz w:val="44"/>
                      <w:szCs w:val="44"/>
                    </w:rPr>
                    <w:t xml:space="preserve">$48M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Ad Spend Managed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EF9C3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EA580C"/>
                      <w:sz w:val="44"/>
                      <w:szCs w:val="44"/>
                    </w:rPr>
                    <w:t xml:space="preserve">6.2x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Peak ROAS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EF9C3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EA580C"/>
                      <w:sz w:val="44"/>
                      <w:szCs w:val="44"/>
                    </w:rPr>
                    <w:t xml:space="preserve">340%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Organic Growth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EF9C3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EA580C"/>
                      <w:sz w:val="44"/>
                      <w:szCs w:val="44"/>
                    </w:rPr>
                    <w:t xml:space="preserve">42M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Users Reached</w:t>
                  </w:r>
                </w:p>
              </w:tc>
            </w:tr>
          </w:tbl>
          <w:p>
            <w:pPr>
              <w:spacing w:after="0" w:before="160"/>
            </w:pPr>
          </w:p>
          <w:p>
            <w:pPr>
              <w:pBdr>
                <w:bottom w:val="single" w:color="EA580C" w:sz="6" w:space="1"/>
              </w:pBdr>
              <w:spacing w:after="80" w:before="0"/>
            </w:pPr>
          </w:p>
          <w:p>
            <w:pPr>
              <w:spacing w:after="20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Growth marketer with 8 years driving measurable revenue impact for DTC e-commerce and SaaS brands. Managed $48M in annual ad spend; pioneered a performance-creative methodology now used across 4 agencies.</w:t>
            </w:r>
          </w:p>
          <w:p>
            <w:pPr>
              <w:pBdr>
                <w:bottom w:val="single" w:color="EA580C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EA580C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EA580C"/>
                <w:sz w:val="22"/>
                <w:szCs w:val="22"/>
              </w:rPr>
              <w:t xml:space="preserve">Head of Growth Marketing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Beautycounter, Los Angeles CA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Grew DTC revenue 88% YoY; $34M incremental through paid and owned channel optimisation.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Launched loyalty programme: 1.2M members enrolled, 42% higher LTV vs non-members.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and led 11-person growth team across paid, SEO, email, and partnerships.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EA580C"/>
                <w:sz w:val="22"/>
                <w:szCs w:val="22"/>
              </w:rPr>
              <w:t xml:space="preserve">Senior Performance Marketing Manager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Revolve, Los Angeles CA · 2018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$12M Meta and Google portfolio; ROAS improved from 2.8× to 6.2×.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influencer performance programme scaling from 200 to 4,000 creators.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EA580C"/>
                <w:sz w:val="22"/>
                <w:szCs w:val="22"/>
              </w:rPr>
              <w:t xml:space="preserve">Digital Marketing Manager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Hims Inc., San Francisco CA · 2017 – 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paid acquisition function from scratch; achieved $2M MRR in 8 months.</w:t>
            </w:r>
          </w:p>
          <w:p>
            <w:pPr>
              <w:pBdr>
                <w:bottom w:val="single" w:color="EA580C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EA580C"/>
                <w:sz w:val="20"/>
                <w:szCs w:val="20"/>
              </w:rPr>
              <w:t xml:space="preserve">AWARDS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Digiday Award – Best Performance Marketing 2023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Inc. Best in Business – Marketing Leader 2022</w:t>
            </w:r>
          </w:p>
          <w:p>
            <w:pPr>
              <w:spacing w:after="36" w:before="52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Beautycounter Growth Star Award 2022</w:t>
            </w:r>
          </w:p>
          <w:p>
            <w:pPr>
              <w:spacing w:after="0" w:before="26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2026-05-14T13:05:53.056Z</dcterms:created>
  <dcterms:modified xsi:type="dcterms:W3CDTF">2026-05-14T13:05:53.056Z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