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3557" w:val="clear"/>
            <w:tcMar>
              <w:top w:type="dxa" w:w="520"/>
              <w:left w:type="dxa" w:w="520"/>
              <w:bottom w:type="dxa" w:w="520"/>
              <w:right w:type="dxa" w:w="520"/>
            </w:tcMar>
          </w:tcPr>
          <w:p>
            <w:pPr>
              <w:spacing w:after="0" w:before="200"/>
            </w:pP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80"/>
                <w:szCs w:val="80"/>
              </w:rPr>
              <w:t xml:space="preserve">JONATHAN BERG</w:t>
            </w:r>
          </w:p>
          <w:p>
            <w:pPr>
              <w:spacing w:after="18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A8D4F5"/>
                <w:spacing w:val="80"/>
                <w:sz w:val="22"/>
                <w:szCs w:val="22"/>
              </w:rPr>
              <w:t xml:space="preserve">CHIEF OPERATING OFFICER · SCALE-UP &amp; ENTERPRISE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9FA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D3557"/>
                <w:sz w:val="18"/>
                <w:szCs w:val="18"/>
              </w:rPr>
              <w:t xml:space="preserve">✉ j.berg@coo-exec.com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9FA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D3557"/>
                <w:sz w:val="18"/>
                <w:szCs w:val="18"/>
              </w:rPr>
              <w:t xml:space="preserve">☎ +1 (212) 555-0107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9FA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D3557"/>
                <w:sz w:val="18"/>
                <w:szCs w:val="18"/>
              </w:rPr>
              <w:t xml:space="preserve">⌂ New York, NY 10036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9FA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1D3557"/>
                <w:sz w:val="18"/>
                <w:szCs w:val="18"/>
              </w:rPr>
              <w:t xml:space="preserve">⦿ linkedin.com/in/jonathanberg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8840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9FA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pBdr>
                <w:bottom w:val="single" w:color="1D3557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D3557"/>
                <w:sz w:val="20"/>
                <w:szCs w:val="20"/>
              </w:rPr>
              <w:t xml:space="preserve">CORE COMPETENCIES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P&amp;L Management  </w:t>
            </w:r>
            <w:r>
              <w:rPr>
                <w:rFonts w:ascii="Arial" w:cs="Arial" w:eastAsia="Arial" w:hAnsi="Arial"/>
                <w:color w:val="457B9D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Operational Excellence  </w:t>
            </w:r>
            <w:r>
              <w:rPr>
                <w:rFonts w:ascii="Arial" w:cs="Arial" w:eastAsia="Arial" w:hAnsi="Arial"/>
                <w:color w:val="457B9D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OKR / KPI Frameworks  </w:t>
            </w:r>
            <w:r>
              <w:rPr>
                <w:rFonts w:ascii="Arial" w:cs="Arial" w:eastAsia="Arial" w:hAnsi="Arial"/>
                <w:color w:val="457B9D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M&amp;A Integration  </w:t>
            </w:r>
            <w:r>
              <w:rPr>
                <w:rFonts w:ascii="Arial" w:cs="Arial" w:eastAsia="Arial" w:hAnsi="Arial"/>
                <w:color w:val="457B9D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Board Reporting  </w:t>
            </w:r>
            <w:r>
              <w:rPr>
                <w:rFonts w:ascii="Arial" w:cs="Arial" w:eastAsia="Arial" w:hAnsi="Arial"/>
                <w:color w:val="457B9D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Talent Development  </w:t>
            </w:r>
            <w:r>
              <w:rPr>
                <w:rFonts w:ascii="Arial" w:cs="Arial" w:eastAsia="Arial" w:hAnsi="Arial"/>
                <w:color w:val="457B9D"/>
                <w:sz w:val="14"/>
                <w:szCs w:val="14"/>
              </w:rPr>
              <w:t xml:space="preserve">■■■■■■■■■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</w:t>
            </w:r>
          </w:p>
          <w:p>
            <w:pPr>
              <w:pBdr>
                <w:bottom w:val="single" w:color="1D3557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D3557"/>
                <w:sz w:val="20"/>
                <w:szCs w:val="20"/>
              </w:rPr>
              <w:t xml:space="preserve">EDUCATION</w:t>
            </w:r>
          </w:p>
          <w:p>
            <w:pPr>
              <w:spacing w:after="4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MBA — Harvard Business School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6"/>
                <w:szCs w:val="16"/>
              </w:rPr>
              <w:t xml:space="preserve">Baker Scholar · 2004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B.Sc. Economics — Wharton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6"/>
                <w:szCs w:val="16"/>
              </w:rPr>
              <w:t xml:space="preserve">University of Pennsylvania · 2001</w:t>
            </w:r>
          </w:p>
          <w:p>
            <w:pPr>
              <w:pBdr>
                <w:bottom w:val="single" w:color="1D3557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D3557"/>
                <w:sz w:val="20"/>
                <w:szCs w:val="20"/>
              </w:rPr>
              <w:t xml:space="preserve">CERTIFICATIONS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Lean Six Sigma Black Belt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CIMA Strategic Level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PMP – PMI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Board Director (NACD)</w:t>
            </w:r>
          </w:p>
          <w:p>
            <w:pPr>
              <w:pBdr>
                <w:bottom w:val="single" w:color="1D3557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D3557"/>
                <w:sz w:val="20"/>
                <w:szCs w:val="20"/>
              </w:rPr>
              <w:t xml:space="preserve">LANGUAGES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English — Native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German — Fluent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Mandarin — B1</w:t>
            </w:r>
          </w:p>
        </w:tc>
        <w:tc>
          <w:tcPr>
            <w:tcW w:type="dxa" w:w="8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200" w:before="1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Commercially astute COO with 20 years scaling operations from Series B through NASDAQ IPO. Track record of $120M+ EBITDA improvement across SaaS, fintech, and media. Board-level communicator and operational architect.</w:t>
            </w:r>
          </w:p>
          <w:p>
            <w:pPr>
              <w:pBdr>
                <w:bottom w:val="single" w:color="1D3557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D3557"/>
                <w:sz w:val="20"/>
                <w:szCs w:val="20"/>
              </w:rPr>
              <w:t xml:space="preserve">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D3557"/>
                <w:sz w:val="22"/>
                <w:szCs w:val="22"/>
              </w:rPr>
              <w:t xml:space="preserve">Chief Operating Officer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Palo Alto Networks (PANW), New York · 2019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Scaled ARR from $2.9Bn to $6.9Bn in 4 years; grew headcount from 3,400 to 13,000.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$2.8Bn Demisto acquisition integration; realised $120M in operational synergies.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Established OKR framework across 8 business units; eNPS +14 points.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D3557"/>
                <w:sz w:val="22"/>
                <w:szCs w:val="22"/>
              </w:rPr>
              <w:t xml:space="preserve">EVP Operations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WeWork, New York NY · 2015 – 2019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Built global operations function from 8 to 340 people across 32 countries.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Drove 18-point improvement in location-level EBITDA margin in 18 months.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D3557"/>
                <w:sz w:val="22"/>
                <w:szCs w:val="22"/>
              </w:rPr>
              <w:t xml:space="preserve">VP Operations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McKinsey &amp; Company, New York NY · 2007 – 2015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Partner-level engagement manager for private equity portfolio operations.</w:t>
            </w:r>
          </w:p>
          <w:p>
            <w:pPr>
              <w:pBdr>
                <w:bottom w:val="single" w:color="1D3557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1D3557"/>
                <w:sz w:val="20"/>
                <w:szCs w:val="20"/>
              </w:rPr>
              <w:t xml:space="preserve">BOARD &amp; ADVISORY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▸ Independent Director — Sprinklr Inc. (NASDAQ: CXM)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▸ Operating Advisor — General Atlantic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▸ Audit Committee — Cloudflare Inc.</w:t>
            </w:r>
          </w:p>
          <w:p>
            <w:pPr>
              <w:spacing w:after="0" w:before="20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2026-05-14T13:05:53.153Z</dcterms:created>
  <dcterms:modified xsi:type="dcterms:W3CDTF">2026-05-14T13:05:53.153Z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