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9840"/>
        <w:gridCol w:w="1200"/>
      </w:tblGrid>
      <w:t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  <w:tc>
          <w:tcPr>
            <w:tcW w:type="dxa" w:w="9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440"/>
            </w:pPr>
          </w:p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11111"/>
                <w:sz w:val="88"/>
                <w:szCs w:val="88"/>
              </w:rPr>
              <w:t xml:space="preserve">EDWARD SINCLAIR</w:t>
            </w:r>
          </w:p>
          <w:p>
            <w:pPr>
              <w:spacing w:after="6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8B0000"/>
                <w:sz w:val="24"/>
                <w:szCs w:val="24"/>
              </w:rPr>
              <w:t xml:space="preserve">Barrister · Commercial &amp; Public Law · Middle Temple</w:t>
            </w:r>
          </w:p>
          <w:p>
            <w:pPr>
              <w:pBdr>
                <w:bottom w:val="single" w:color="111111" w:sz="4" w:space="1"/>
              </w:pBdr>
              <w:spacing w:after="80" w:before="0"/>
            </w:pPr>
          </w:p>
          <w:p>
            <w:pPr>
              <w:spacing w:after="240" w:before="0"/>
            </w:pPr>
            <w:r>
              <w:rPr>
                <w:rFonts w:ascii="Georgia" w:cs="Georgia" w:eastAsia="Georgia" w:hAnsi="Georgia"/>
                <w:color w:val="777777"/>
                <w:sz w:val="17"/>
                <w:szCs w:val="17"/>
              </w:rPr>
              <w:t xml:space="preserve">edward.sinclair@6kbw.com  ·  +44 20 7632 0103  ·  London, EC4  ·  Called to Bar 2006</w:t>
            </w:r>
          </w:p>
          <w:p>
            <w:pPr>
              <w:spacing w:after="6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8B0000"/>
                <w:spacing w:val="120"/>
                <w:sz w:val="19"/>
                <w:szCs w:val="19"/>
              </w:rPr>
              <w:t xml:space="preserve">PROFILE</w:t>
            </w:r>
          </w:p>
          <w:p>
            <w:pPr>
              <w:spacing w:after="24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333333"/>
                <w:sz w:val="19"/>
                <w:szCs w:val="19"/>
              </w:rPr>
              <w:t xml:space="preserve">Leading commercial barrister with 18 years of practice at the English Bar, specialising in complex commercial disputes, judicial review, and regulatory enforcement. Appeared in 9 cases before the Supreme Court. Silk awarded 2019.</w:t>
            </w:r>
          </w:p>
          <w:p>
            <w:pPr>
              <w:spacing w:after="60" w:before="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8B0000"/>
                <w:spacing w:val="120"/>
                <w:sz w:val="19"/>
                <w:szCs w:val="19"/>
              </w:rPr>
              <w:t xml:space="preserve">PRACTICE &amp; APPOINTMENTS</w:t>
            </w:r>
          </w:p>
          <w:p>
            <w:pPr>
              <w:pBdr>
                <w:bottom w:val="single" w:color="111111" w:sz="2" w:space="1"/>
              </w:pBdr>
              <w:spacing w:after="80" w:before="0"/>
            </w:pP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8B0000"/>
                <w:sz w:val="22"/>
                <w:szCs w:val="22"/>
              </w:rPr>
              <w:t xml:space="preserve">King's Counsel (KC)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6KBW College Hill, London · 2019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counsel in Barclays v. FCA — landmark enforcement case setting regulatory standard for market abuse.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Acted for HMRC in cross-border tax avoidance challenge; recovered £420M for the Exchequer.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Appointed to Attorney General's Panel of Counsel (A Panel) 2021.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8B0000"/>
                <w:sz w:val="22"/>
                <w:szCs w:val="22"/>
              </w:rPr>
              <w:t xml:space="preserve">Senior Junior Counsel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6KBW College Hill, London · 2010 – 2019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Appeared in Court of Appeal (Civil Division) 22 times; 18 judgments in client's favour.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junior team in £2.1Bn pension mis-selling class action (settled favourably).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8B0000"/>
                <w:sz w:val="22"/>
                <w:szCs w:val="22"/>
              </w:rPr>
              <w:t xml:space="preserve">Tenant / Junior Barrister</w:t>
            </w:r>
          </w:p>
          <w:p>
            <w:pPr>
              <w:spacing w:after="28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6KBW College Hill, London · 2006 – 2010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Broad commercial practice across fraud, contract, and judicial review.</w:t>
            </w:r>
          </w:p>
          <w:p>
            <w:pPr>
              <w:spacing w:after="60" w:before="20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8B0000"/>
                <w:spacing w:val="120"/>
                <w:sz w:val="19"/>
                <w:szCs w:val="19"/>
              </w:rPr>
              <w:t xml:space="preserve">EDUCATION</w:t>
            </w:r>
          </w:p>
          <w:p>
            <w:pPr>
              <w:pBdr>
                <w:bottom w:val="single" w:color="111111" w:sz="2" w:space="1"/>
              </w:pBdr>
              <w:spacing w:after="80" w:before="0"/>
            </w:pPr>
          </w:p>
          <w:tbl>
            <w:tblPr>
              <w:tblW w:type="dxa" w:w="98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80"/>
              <w:gridCol w:w="3280"/>
              <w:gridCol w:w="3280"/>
            </w:tblGrid>
            <w:tr>
              <w:tc>
                <w:tcPr>
                  <w:tcW w:type="dxa" w:w="3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" w:before="60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i w:val="false"/>
                      <w:iCs w:val="false"/>
                      <w:caps w:val="false"/>
                      <w:color w:val="111111"/>
                      <w:sz w:val="18"/>
                      <w:szCs w:val="18"/>
                    </w:rPr>
                    <w:t xml:space="preserve">B.C.L. (Oxon)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6"/>
                      <w:szCs w:val="16"/>
                    </w:rPr>
                    <w:t xml:space="preserve">Distinction · 2005</w:t>
                  </w:r>
                </w:p>
              </w:tc>
              <w:tc>
                <w:tcPr>
                  <w:tcW w:type="dxa" w:w="3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" w:before="60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i w:val="false"/>
                      <w:iCs w:val="false"/>
                      <w:caps w:val="false"/>
                      <w:color w:val="111111"/>
                      <w:sz w:val="18"/>
                      <w:szCs w:val="18"/>
                    </w:rPr>
                    <w:t xml:space="preserve">M.A. (Hons) Law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6"/>
                      <w:szCs w:val="16"/>
                    </w:rPr>
                    <w:t xml:space="preserve">University of Oxford · 2004</w:t>
                  </w:r>
                </w:p>
              </w:tc>
              <w:tc>
                <w:tcPr>
                  <w:tcW w:type="dxa" w:w="32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" w:before="60"/>
                    <w:jc w:val="left"/>
                  </w:pPr>
                  <w:r>
                    <w:rPr>
                      <w:rFonts w:ascii="Georgia" w:cs="Georgia" w:eastAsia="Georgia" w:hAnsi="Georgia"/>
                      <w:b/>
                      <w:bCs/>
                      <w:i w:val="false"/>
                      <w:iCs w:val="false"/>
                      <w:caps w:val="false"/>
                      <w:color w:val="111111"/>
                      <w:sz w:val="18"/>
                      <w:szCs w:val="18"/>
                    </w:rPr>
                    <w:t xml:space="preserve">Harmsworth Scholar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/>
                      <w:iCs/>
                      <w:caps w:val="false"/>
                      <w:color w:val="888888"/>
                      <w:sz w:val="16"/>
                      <w:szCs w:val="16"/>
                    </w:rPr>
                    <w:t xml:space="preserve">Middle Temple · 2005–2006</w:t>
                  </w:r>
                </w:p>
              </w:tc>
            </w:tr>
          </w:tbl>
          <w:p>
            <w:pPr>
              <w:spacing w:after="60" w:before="20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/>
                <w:color w:val="8B0000"/>
                <w:spacing w:val="120"/>
                <w:sz w:val="19"/>
                <w:szCs w:val="19"/>
              </w:rPr>
              <w:t xml:space="preserve">APPOINTMENTS &amp; AWARDS</w:t>
            </w:r>
          </w:p>
          <w:p>
            <w:pPr>
              <w:pBdr>
                <w:bottom w:val="single" w:color="111111" w:sz="2" w:space="1"/>
              </w:pBdr>
              <w:spacing w:after="80" w:before="0"/>
            </w:pPr>
          </w:p>
          <w:p>
            <w:pPr>
              <w:spacing w:after="44" w:before="44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King's Counsel (KC) — 2019</w:t>
            </w:r>
          </w:p>
          <w:p>
            <w:pPr>
              <w:spacing w:after="44" w:before="44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Attorney General's A Panel — 2021</w:t>
            </w:r>
          </w:p>
          <w:p>
            <w:pPr>
              <w:spacing w:after="44" w:before="44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Chambers &amp; Partners UK Barrister of the Year — Commercial 2023</w:t>
            </w:r>
          </w:p>
          <w:p>
            <w:pPr>
              <w:spacing w:after="44" w:before="44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Legal 500 — Tier 1 for Commercial Litigation 2019–2024</w:t>
            </w:r>
          </w:p>
          <w:p>
            <w:pPr>
              <w:spacing w:after="44" w:before="44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444444"/>
                <w:sz w:val="17"/>
                <w:szCs w:val="17"/>
              </w:rPr>
              <w:t xml:space="preserve">▸ Recorder of the Crown Court (part-time judge) — 2022</w:t>
            </w:r>
          </w:p>
          <w:p>
            <w:pPr>
              <w:spacing w:after="0" w:before="440"/>
            </w:pP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2026-05-14T13:05:52.980Z</dcterms:created>
  <dcterms:modified xsi:type="dcterms:W3CDTF">2026-05-14T13:05:52.980Z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