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Calibri" w:cs="Calibri" w:eastAsia="Calibri" w:hAnsi="Calibri"/>
          <w:b/>
          <w:bCs/>
          <w:color w:val="1E3A5F"/>
          <w:sz w:val="56"/>
          <w:szCs w:val="56"/>
        </w:rPr>
        <w:t xml:space="preserve">Patrick Okafor, P.E.</w:t>
      </w:r>
    </w:p>
    <w:p>
      <w:pPr>
        <w:spacing w:after="20" w:before="0"/>
      </w:pPr>
      <w:r>
        <w:rPr>
          <w:rFonts w:ascii="Calibri" w:cs="Calibri" w:eastAsia="Calibri" w:hAnsi="Calibri"/>
          <w:color w:val="1D4ED8"/>
          <w:sz w:val="25"/>
          <w:szCs w:val="25"/>
        </w:rPr>
        <w:t xml:space="preserve">Senior Civil Engineer &amp; Project Manager</w:t>
      </w:r>
    </w:p>
    <w:p>
      <w:pPr>
        <w:pBdr>
          <w:bottom w:val="single" w:color="1D4ED8" w:sz="10" w:space="1"/>
        </w:pBdr>
        <w:spacing w:after="60" w:before="60"/>
      </w:pPr>
    </w:p>
    <w:p>
      <w:pPr>
        <w:spacing w:after="8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7500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1D4ED8"/>
                <w:spacing w:val="40"/>
                <w:sz w:val="20"/>
                <w:szCs w:val="20"/>
              </w:rPr>
              <w:t xml:space="preserve">CONTACT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p.okafor@engineering.net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+1 (404) 555-0855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Atlanta, GA 30301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linkedin.com/in/patokafor</w:t>
            </w: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1D4ED8"/>
                <w:spacing w:val="40"/>
                <w:sz w:val="20"/>
                <w:szCs w:val="20"/>
              </w:rPr>
              <w:t xml:space="preserve">TECHNICAL SKILLS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AutoCAD Civil 3D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HEC-RAS / HEC-HMS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ArcGIS Pro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STAAD.Pro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MicroStation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MS Project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Primavera P6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FHWA Roadway Design</w:t>
            </w: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1D4ED8"/>
                <w:spacing w:val="40"/>
                <w:sz w:val="20"/>
                <w:szCs w:val="20"/>
              </w:rPr>
              <w:t xml:space="preserve">EDUCATION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8"/>
                <w:szCs w:val="18"/>
              </w:rPr>
              <w:t xml:space="preserve">M.S. Civil Engineering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777777"/>
                <w:sz w:val="17"/>
                <w:szCs w:val="17"/>
              </w:rPr>
              <w:t xml:space="preserve">Georgia Tech, 2012 – Structural Focus</w:t>
            </w:r>
          </w:p>
          <w:p>
            <w:pPr>
              <w:spacing w:after="8" w:before="4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18"/>
                <w:szCs w:val="18"/>
              </w:rPr>
              <w:t xml:space="preserve">B.S. Civil Engineering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777777"/>
                <w:sz w:val="17"/>
                <w:szCs w:val="17"/>
              </w:rPr>
              <w:t xml:space="preserve">University of Nigeria, Nsukka, 2009</w:t>
            </w: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1D4ED8"/>
                <w:spacing w:val="40"/>
                <w:sz w:val="20"/>
                <w:szCs w:val="20"/>
              </w:rPr>
              <w:t xml:space="preserve">LICENSES &amp; CERTS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P.E. – Georgia (2016)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P.E. – Florida (2019)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ENV SP – ACEC (2020)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PMP – PMI (2021)</w:t>
            </w:r>
          </w:p>
        </w:tc>
        <w:tc>
          <w:tcPr>
            <w:tcW w:type="dxa" w:w="7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1D4ED8"/>
                <w:spacing w:val="40"/>
                <w:sz w:val="20"/>
                <w:szCs w:val="20"/>
              </w:rPr>
              <w:t xml:space="preserve">SUMMARY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4B5563"/>
                <w:sz w:val="20"/>
                <w:szCs w:val="20"/>
              </w:rPr>
              <w:t xml:space="preserve">Licensed Professional Engineer with 12 years designing and managing complex transportation and stormwater infrastructure projects valued up to $120M. Expert in hydraulics, roadway design, and multidisciplinary team coordination.</w:t>
            </w:r>
          </w:p>
          <w:p>
            <w:pPr>
              <w:spacing w:after="60" w:before="180"/>
            </w:pPr>
            <w:r>
              <w:rPr>
                <w:rFonts w:ascii="Calibri" w:cs="Calibri" w:eastAsia="Calibri" w:hAnsi="Calibri"/>
                <w:b/>
                <w:bCs/>
                <w:color w:val="1D4ED8"/>
                <w:spacing w:val="40"/>
                <w:sz w:val="20"/>
                <w:szCs w:val="20"/>
              </w:rPr>
              <w:t xml:space="preserve">EXPERIENCE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Senior Civil Engineer / Project Manager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2018 – Present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AECOM, Atlanta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PM on $120M I-285 interchange reconstruction; coordinated 6 design disciplines and GDOT reviews.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Designed stormwater management system for 340-acre mixed-use development meeting MS4 requirements.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Reduced design review cycle by 22% by implementing BIM coordination protocols.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Civil Engineer III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2014 – 2018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Kimley-Horn &amp; Associates, Atlanta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Led roadway and grading design for 12 suburban subdivision projects across GA and FL.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Prepared NPDES permit applications and SWPPP plans for commercial sites over 5 acres.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2"/>
                <w:szCs w:val="22"/>
              </w:rPr>
              <w:t xml:space="preserve">Staff Civil Engineer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2012 – 2014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WSP USA, Atlanta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Developed hydraulic models using HEC-RAS for 8 stream restoration and culvert projects.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Drafted construction documents for 3 GDOT bridge rehabilitation projects.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2026-05-09T10:44:58.748Z</dcterms:created>
  <dcterms:modified xsi:type="dcterms:W3CDTF">2026-05-09T10:44:58.748Z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