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center"/>
      </w:pPr>
      <w:r>
        <w:rPr>
          <w:rFonts w:ascii="Times New Roman" w:cs="Times New Roman" w:eastAsia="Times New Roman" w:hAnsi="Times New Roman"/>
          <w:b/>
          <w:bCs/>
          <w:color w:val="003366"/>
          <w:sz w:val="60"/>
          <w:szCs w:val="60"/>
        </w:rPr>
        <w:t xml:space="preserve">Robert Whitfield</w:t>
      </w:r>
    </w:p>
    <w:p>
      <w:pPr>
        <w:spacing w:after="10" w:before="0"/>
        <w:jc w:val="center"/>
      </w:pPr>
      <w:r>
        <w:rPr>
          <w:rFonts w:ascii="Times New Roman" w:cs="Times New Roman" w:eastAsia="Times New Roman" w:hAnsi="Times New Roman"/>
          <w:i/>
          <w:iCs/>
          <w:color w:val="6B7280"/>
          <w:sz w:val="25"/>
          <w:szCs w:val="25"/>
        </w:rPr>
        <w:t xml:space="preserve">Partner, Corporate &amp; Securities Law</w:t>
      </w:r>
    </w:p>
    <w:p>
      <w:pPr>
        <w:spacing w:after="40" w:before="0"/>
        <w:jc w:val="center"/>
      </w:pPr>
      <w:r>
        <w:rPr>
          <w:rFonts w:ascii="Times New Roman" w:cs="Times New Roman" w:eastAsia="Times New Roman" w:hAnsi="Times New Roman"/>
          <w:color w:val="6B7280"/>
          <w:sz w:val="18"/>
          <w:szCs w:val="18"/>
        </w:rPr>
        <w:t xml:space="preserve">Boston, MA  |  r.whitfield@corporate.com  |  +1 (617) 555-1073  |  Bar: MA &amp; NY</w:t>
      </w:r>
    </w:p>
    <w:p>
      <w:pPr>
        <w:pBdr>
          <w:top w:val="double" w:color="003366" w:sz="6" w:space="1"/>
          <w:bottom w:val="single" w:color="003366" w:sz="6" w:space="1"/>
        </w:pBdr>
        <w:spacing w:after="40" w:before="40"/>
      </w:pPr>
    </w:p>
    <w:p>
      <w:pPr>
        <w:spacing w:after="80" w:before="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6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single" w:color="CCCCCC" w:sz="6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 w:before="20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3366"/>
                <w:spacing w:val="80"/>
                <w:sz w:val="20"/>
                <w:szCs w:val="20"/>
              </w:rPr>
              <w:t xml:space="preserve">CONTACT</w:t>
            </w:r>
          </w:p>
          <w:p>
            <w:pPr>
              <w:pBdr>
                <w:bottom w:val="single" w:color="003366" w:sz="4" w:space="1"/>
              </w:pBdr>
              <w:spacing w:after="40" w:before="40"/>
            </w:pPr>
          </w:p>
          <w:p>
            <w:pPr>
              <w:spacing w:after="30" w:before="30"/>
            </w:pPr>
            <w:r>
              <w:rPr>
                <w:rFonts w:ascii="Times New Roman" w:cs="Times New Roman" w:eastAsia="Times New Roman" w:hAnsi="Times New Roman"/>
                <w:color w:val="4A4A4A"/>
                <w:sz w:val="18"/>
                <w:szCs w:val="18"/>
              </w:rPr>
              <w:t xml:space="preserve">r.whitfield@corporate.com</w:t>
            </w:r>
          </w:p>
          <w:p>
            <w:pPr>
              <w:spacing w:after="30" w:before="30"/>
            </w:pPr>
            <w:r>
              <w:rPr>
                <w:rFonts w:ascii="Times New Roman" w:cs="Times New Roman" w:eastAsia="Times New Roman" w:hAnsi="Times New Roman"/>
                <w:color w:val="4A4A4A"/>
                <w:sz w:val="18"/>
                <w:szCs w:val="18"/>
              </w:rPr>
              <w:t xml:space="preserve">+1 (617) 555-1073</w:t>
            </w:r>
          </w:p>
          <w:p>
            <w:pPr>
              <w:spacing w:after="30" w:before="30"/>
            </w:pPr>
            <w:r>
              <w:rPr>
                <w:rFonts w:ascii="Times New Roman" w:cs="Times New Roman" w:eastAsia="Times New Roman" w:hAnsi="Times New Roman"/>
                <w:color w:val="4A4A4A"/>
                <w:sz w:val="18"/>
                <w:szCs w:val="18"/>
              </w:rPr>
              <w:t xml:space="preserve">Boston, MA 02110</w:t>
            </w:r>
          </w:p>
          <w:p>
            <w:pPr>
              <w:spacing w:after="30" w:before="30"/>
            </w:pPr>
            <w:r>
              <w:rPr>
                <w:rFonts w:ascii="Times New Roman" w:cs="Times New Roman" w:eastAsia="Times New Roman" w:hAnsi="Times New Roman"/>
                <w:color w:val="4A4A4A"/>
                <w:sz w:val="18"/>
                <w:szCs w:val="18"/>
              </w:rPr>
              <w:t xml:space="preserve">linkedin.com/in/rwhitfield</w:t>
            </w:r>
          </w:p>
          <w:p>
            <w:pPr>
              <w:spacing w:after="60" w:before="20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3366"/>
                <w:spacing w:val="80"/>
                <w:sz w:val="20"/>
                <w:szCs w:val="20"/>
              </w:rPr>
              <w:t xml:space="preserve">CORE SKILLS</w:t>
            </w:r>
          </w:p>
          <w:p>
            <w:pPr>
              <w:pBdr>
                <w:bottom w:val="single" w:color="003366" w:sz="4" w:space="1"/>
              </w:pBdr>
              <w:spacing w:after="40" w:before="40"/>
            </w:pPr>
          </w:p>
          <w:p>
            <w:pPr>
              <w:spacing w:after="28" w:before="28"/>
            </w:pPr>
            <w:r>
              <w:rPr>
                <w:rFonts w:ascii="Times New Roman" w:cs="Times New Roman" w:eastAsia="Times New Roman" w:hAnsi="Times New Roman"/>
                <w:color w:val="4A4A4A"/>
                <w:sz w:val="18"/>
                <w:szCs w:val="18"/>
              </w:rPr>
              <w:t xml:space="preserve">Financial Modeling</w:t>
            </w:r>
          </w:p>
          <w:p>
            <w:pPr>
              <w:spacing w:after="28" w:before="28"/>
            </w:pPr>
            <w:r>
              <w:rPr>
                <w:rFonts w:ascii="Times New Roman" w:cs="Times New Roman" w:eastAsia="Times New Roman" w:hAnsi="Times New Roman"/>
                <w:color w:val="4A4A4A"/>
                <w:sz w:val="18"/>
                <w:szCs w:val="18"/>
              </w:rPr>
              <w:t xml:space="preserve">Corporate Strategy</w:t>
            </w:r>
          </w:p>
          <w:p>
            <w:pPr>
              <w:spacing w:after="28" w:before="28"/>
            </w:pPr>
            <w:r>
              <w:rPr>
                <w:rFonts w:ascii="Times New Roman" w:cs="Times New Roman" w:eastAsia="Times New Roman" w:hAnsi="Times New Roman"/>
                <w:color w:val="4A4A4A"/>
                <w:sz w:val="18"/>
                <w:szCs w:val="18"/>
              </w:rPr>
              <w:t xml:space="preserve">Investor Relations</w:t>
            </w:r>
          </w:p>
          <w:p>
            <w:pPr>
              <w:spacing w:after="28" w:before="28"/>
            </w:pPr>
            <w:r>
              <w:rPr>
                <w:rFonts w:ascii="Times New Roman" w:cs="Times New Roman" w:eastAsia="Times New Roman" w:hAnsi="Times New Roman"/>
                <w:color w:val="4A4A4A"/>
                <w:sz w:val="18"/>
                <w:szCs w:val="18"/>
              </w:rPr>
              <w:t xml:space="preserve">Due Diligence</w:t>
            </w:r>
          </w:p>
          <w:p>
            <w:pPr>
              <w:spacing w:after="28" w:before="28"/>
            </w:pPr>
            <w:r>
              <w:rPr>
                <w:rFonts w:ascii="Times New Roman" w:cs="Times New Roman" w:eastAsia="Times New Roman" w:hAnsi="Times New Roman"/>
                <w:color w:val="4A4A4A"/>
                <w:sz w:val="18"/>
                <w:szCs w:val="18"/>
              </w:rPr>
              <w:t xml:space="preserve">Regulatory Compliance</w:t>
            </w:r>
          </w:p>
          <w:p>
            <w:pPr>
              <w:spacing w:after="28" w:before="28"/>
            </w:pPr>
            <w:r>
              <w:rPr>
                <w:rFonts w:ascii="Times New Roman" w:cs="Times New Roman" w:eastAsia="Times New Roman" w:hAnsi="Times New Roman"/>
                <w:color w:val="4A4A4A"/>
                <w:sz w:val="18"/>
                <w:szCs w:val="18"/>
              </w:rPr>
              <w:t xml:space="preserve">Team Leadership</w:t>
            </w:r>
          </w:p>
          <w:p>
            <w:pPr>
              <w:spacing w:after="28" w:before="28"/>
            </w:pPr>
            <w:r>
              <w:rPr>
                <w:rFonts w:ascii="Times New Roman" w:cs="Times New Roman" w:eastAsia="Times New Roman" w:hAnsi="Times New Roman"/>
                <w:color w:val="4A4A4A"/>
                <w:sz w:val="18"/>
                <w:szCs w:val="18"/>
              </w:rPr>
              <w:t xml:space="preserve">Contract Negotiation</w:t>
            </w:r>
          </w:p>
          <w:p>
            <w:pPr>
              <w:spacing w:after="28" w:before="28"/>
            </w:pPr>
            <w:r>
              <w:rPr>
                <w:rFonts w:ascii="Times New Roman" w:cs="Times New Roman" w:eastAsia="Times New Roman" w:hAnsi="Times New Roman"/>
                <w:color w:val="4A4A4A"/>
                <w:sz w:val="18"/>
                <w:szCs w:val="18"/>
              </w:rPr>
              <w:t xml:space="preserve">Cross-border Transactions</w:t>
            </w:r>
          </w:p>
          <w:p>
            <w:pPr>
              <w:spacing w:after="60" w:before="20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3366"/>
                <w:spacing w:val="80"/>
                <w:sz w:val="20"/>
                <w:szCs w:val="20"/>
              </w:rPr>
              <w:t xml:space="preserve">EDUCATION</w:t>
            </w:r>
          </w:p>
          <w:p>
            <w:pPr>
              <w:pBdr>
                <w:bottom w:val="single" w:color="003366" w:sz="4" w:space="1"/>
              </w:pBdr>
              <w:spacing w:after="40" w:before="40"/>
            </w:pPr>
          </w:p>
          <w:p>
            <w:pPr>
              <w:spacing w:after="8"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3366"/>
                <w:sz w:val="18"/>
                <w:szCs w:val="18"/>
              </w:rPr>
              <w:t xml:space="preserve">J.D., Boston University School of Law</w:t>
            </w:r>
          </w:p>
          <w:p>
            <w:pPr>
              <w:spacing w:after="30" w:before="0"/>
            </w:pPr>
            <w:r>
              <w:rPr>
                <w:rFonts w:ascii="Times New Roman" w:cs="Times New Roman" w:eastAsia="Times New Roman" w:hAnsi="Times New Roman"/>
                <w:color w:val="888888"/>
                <w:sz w:val="17"/>
                <w:szCs w:val="17"/>
              </w:rPr>
              <w:t xml:space="preserve">2006 – Law Review Editor</w:t>
            </w:r>
          </w:p>
          <w:p>
            <w:pPr>
              <w:spacing w:after="8" w:before="4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3366"/>
                <w:sz w:val="18"/>
                <w:szCs w:val="18"/>
              </w:rPr>
              <w:t xml:space="preserve">B.A. Political Economy, Tufts University</w:t>
            </w:r>
          </w:p>
          <w:p>
            <w:pPr>
              <w:spacing w:after="30" w:before="0"/>
            </w:pPr>
            <w:r>
              <w:rPr>
                <w:rFonts w:ascii="Times New Roman" w:cs="Times New Roman" w:eastAsia="Times New Roman" w:hAnsi="Times New Roman"/>
                <w:color w:val="888888"/>
                <w:sz w:val="17"/>
                <w:szCs w:val="17"/>
              </w:rPr>
              <w:t xml:space="preserve">2003 – Magna Cum Laude</w:t>
            </w:r>
          </w:p>
          <w:p>
            <w:pPr>
              <w:spacing w:after="60" w:before="20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3366"/>
                <w:spacing w:val="80"/>
                <w:sz w:val="20"/>
                <w:szCs w:val="20"/>
              </w:rPr>
              <w:t xml:space="preserve">ADMISSIONS &amp; CERTS</w:t>
            </w:r>
          </w:p>
          <w:p>
            <w:pPr>
              <w:pBdr>
                <w:bottom w:val="single" w:color="003366" w:sz="4" w:space="1"/>
              </w:pBdr>
              <w:spacing w:after="40" w:before="40"/>
            </w:pPr>
          </w:p>
          <w:p>
            <w:pPr>
              <w:spacing w:after="28" w:before="28"/>
            </w:pPr>
            <w:r>
              <w:rPr>
                <w:rFonts w:ascii="Times New Roman" w:cs="Times New Roman" w:eastAsia="Times New Roman" w:hAnsi="Times New Roman"/>
                <w:color w:val="4A4A4A"/>
                <w:sz w:val="18"/>
                <w:szCs w:val="18"/>
              </w:rPr>
              <w:t xml:space="preserve">MA Bar Admission (2006)</w:t>
            </w:r>
          </w:p>
          <w:p>
            <w:pPr>
              <w:spacing w:after="28" w:before="28"/>
            </w:pPr>
            <w:r>
              <w:rPr>
                <w:rFonts w:ascii="Times New Roman" w:cs="Times New Roman" w:eastAsia="Times New Roman" w:hAnsi="Times New Roman"/>
                <w:color w:val="4A4A4A"/>
                <w:sz w:val="18"/>
                <w:szCs w:val="18"/>
              </w:rPr>
              <w:t xml:space="preserve">NY Bar Admission (2008)</w:t>
            </w:r>
          </w:p>
          <w:p>
            <w:pPr>
              <w:spacing w:after="28" w:before="28"/>
            </w:pPr>
            <w:r>
              <w:rPr>
                <w:rFonts w:ascii="Times New Roman" w:cs="Times New Roman" w:eastAsia="Times New Roman" w:hAnsi="Times New Roman"/>
                <w:color w:val="4A4A4A"/>
                <w:sz w:val="18"/>
                <w:szCs w:val="18"/>
              </w:rPr>
              <w:t xml:space="preserve">FINRA Series 7 &amp; 63</w:t>
            </w:r>
          </w:p>
          <w:p>
            <w:pPr>
              <w:spacing w:after="28" w:before="28"/>
            </w:pPr>
            <w:r>
              <w:rPr>
                <w:rFonts w:ascii="Times New Roman" w:cs="Times New Roman" w:eastAsia="Times New Roman" w:hAnsi="Times New Roman"/>
                <w:color w:val="4A4A4A"/>
                <w:sz w:val="18"/>
                <w:szCs w:val="18"/>
              </w:rPr>
              <w:t xml:space="preserve">Certified Compliance &amp; Ethics Professional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 w:before="20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3366"/>
                <w:spacing w:val="80"/>
                <w:sz w:val="20"/>
                <w:szCs w:val="20"/>
              </w:rPr>
              <w:t xml:space="preserve">EXECUTIVE SUMMARY</w:t>
            </w:r>
          </w:p>
          <w:p>
            <w:pPr>
              <w:pBdr>
                <w:bottom w:val="single" w:color="003366" w:sz="4" w:space="1"/>
              </w:pBdr>
              <w:spacing w:after="40" w:before="40"/>
            </w:pPr>
          </w:p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color w:val="4A4A4A"/>
                <w:sz w:val="20"/>
                <w:szCs w:val="20"/>
              </w:rPr>
              <w:t xml:space="preserve">Senior corporate attorney and business strategist with 18 years advising Fortune 500 clients on M&amp;A transactions, regulatory matters, and enterprise risk. Proven capacity to synthesize complex legal and commercial considerations into actionable guidance for C-suite leadership.</w:t>
            </w:r>
          </w:p>
          <w:p>
            <w:pPr>
              <w:spacing w:after="60" w:before="20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3366"/>
                <w:spacing w:val="80"/>
                <w:sz w:val="20"/>
                <w:szCs w:val="20"/>
              </w:rPr>
              <w:t xml:space="preserve">PROFESSIONAL EXPERIENCE</w:t>
            </w:r>
          </w:p>
          <w:p>
            <w:pPr>
              <w:pBdr>
                <w:bottom w:val="single" w:color="003366" w:sz="4" w:space="1"/>
              </w:pBdr>
              <w:spacing w:after="40" w:before="40"/>
            </w:pP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3366"/>
                <w:sz w:val="22"/>
                <w:szCs w:val="22"/>
              </w:rPr>
              <w:t xml:space="preserve">Partner, Corporate &amp; Securities</w:t>
            </w:r>
            <w:r>
              <w:rPr>
                <w:rFonts w:ascii="Times New Roman" w:cs="Times New Roman" w:eastAsia="Times New Roman" w:hAnsi="Times New Roman"/>
                <w:color w:val="6B7280"/>
                <w:sz w:val="18"/>
                <w:szCs w:val="18"/>
              </w:rPr>
              <w:t xml:space="preserve">	2016 – Present</w:t>
            </w:r>
          </w:p>
          <w:p>
            <w:pPr>
              <w:spacing w:after="40" w:before="0"/>
            </w:pPr>
            <w:r>
              <w:rPr>
                <w:rFonts w:ascii="Times New Roman" w:cs="Times New Roman" w:eastAsia="Times New Roman" w:hAnsi="Times New Roman"/>
                <w:i/>
                <w:iCs/>
                <w:color w:val="6B7280"/>
                <w:sz w:val="20"/>
                <w:szCs w:val="20"/>
              </w:rPr>
              <w:t xml:space="preserve">Sullivan &amp; Cromwell LLP, Boston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  <w:t xml:space="preserve">Advised lead counsel on 11 cross-border M&amp;A transactions totalling $14.8B in aggregate deal value.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  <w:t xml:space="preserve">Managed client relationships generating $4.2M annual billable revenue across financial services sector.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  <w:t xml:space="preserve">Co-chaired firm's Pro Bono Committee overseeing 1,200 annual pro bono hours.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3366"/>
                <w:sz w:val="22"/>
                <w:szCs w:val="22"/>
              </w:rPr>
              <w:t xml:space="preserve">Senior Associate</w:t>
            </w:r>
            <w:r>
              <w:rPr>
                <w:rFonts w:ascii="Times New Roman" w:cs="Times New Roman" w:eastAsia="Times New Roman" w:hAnsi="Times New Roman"/>
                <w:color w:val="6B7280"/>
                <w:sz w:val="18"/>
                <w:szCs w:val="18"/>
              </w:rPr>
              <w:t xml:space="preserve">	2010 – 2016</w:t>
            </w:r>
          </w:p>
          <w:p>
            <w:pPr>
              <w:spacing w:after="40" w:before="0"/>
            </w:pPr>
            <w:r>
              <w:rPr>
                <w:rFonts w:ascii="Times New Roman" w:cs="Times New Roman" w:eastAsia="Times New Roman" w:hAnsi="Times New Roman"/>
                <w:i/>
                <w:iCs/>
                <w:color w:val="6B7280"/>
                <w:sz w:val="20"/>
                <w:szCs w:val="20"/>
              </w:rPr>
              <w:t xml:space="preserve">Ropes &amp; Gray LLP, Boston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  <w:t xml:space="preserve">Supported SEC enforcement defense for top-20 US asset manager; matter closed without action.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  <w:t xml:space="preserve">Drafted shareholder agreements for 9 private equity portfolio company transactions.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3366"/>
                <w:sz w:val="22"/>
                <w:szCs w:val="22"/>
              </w:rPr>
              <w:t xml:space="preserve">Associate</w:t>
            </w:r>
            <w:r>
              <w:rPr>
                <w:rFonts w:ascii="Times New Roman" w:cs="Times New Roman" w:eastAsia="Times New Roman" w:hAnsi="Times New Roman"/>
                <w:color w:val="6B7280"/>
                <w:sz w:val="18"/>
                <w:szCs w:val="18"/>
              </w:rPr>
              <w:t xml:space="preserve">	2006 – 2010</w:t>
            </w:r>
          </w:p>
          <w:p>
            <w:pPr>
              <w:spacing w:after="40" w:before="0"/>
            </w:pPr>
            <w:r>
              <w:rPr>
                <w:rFonts w:ascii="Times New Roman" w:cs="Times New Roman" w:eastAsia="Times New Roman" w:hAnsi="Times New Roman"/>
                <w:i/>
                <w:iCs/>
                <w:color w:val="6B7280"/>
                <w:sz w:val="20"/>
                <w:szCs w:val="20"/>
              </w:rPr>
              <w:t xml:space="preserve">Foley Hoag LLP, Boston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  <w:t xml:space="preserve">Handled corporate governance, securities filings (10-K, 8-K, proxy), and venture financing.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  <w:t xml:space="preserve">First-chaired two AAA commercial arbitrations with favorable outcomes for clients.</w:t>
            </w:r>
          </w:p>
        </w:tc>
      </w:tr>
    </w:tbl>
    <w:sectPr>
      <w:pgSz w:w="12240" w:h="15840" w:orient="portrait"/>
      <w:pgMar w:top="8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28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2026-05-09T10:44:58.805Z</dcterms:created>
  <dcterms:modified xsi:type="dcterms:W3CDTF">2026-05-09T10:44:58.805Z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