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  <w:jc w:val="center"/>
      </w:pPr>
      <w:r>
        <w:rPr>
          <w:rFonts w:ascii="Georgia" w:cs="Georgia" w:eastAsia="Georgia" w:hAnsi="Georgia"/>
          <w:color w:val="1B2A4A"/>
          <w:sz w:val="64"/>
          <w:szCs w:val="64"/>
        </w:rPr>
        <w:t xml:space="preserve">Victoria Hartwell</w:t>
      </w:r>
    </w:p>
    <w:p>
      <w:pPr>
        <w:spacing w:after="0" w:before="0"/>
        <w:jc w:val="center"/>
      </w:pPr>
      <w:r>
        <w:rPr>
          <w:rFonts w:ascii="Georgia" w:cs="Georgia" w:eastAsia="Georgia" w:hAnsi="Georgia"/>
          <w:i/>
          <w:iCs/>
          <w:color w:val="B8860B"/>
          <w:sz w:val="26"/>
          <w:szCs w:val="26"/>
        </w:rPr>
        <w:t xml:space="preserve">Chief Executive Officer</w:t>
      </w:r>
    </w:p>
    <w:p>
      <w:pPr>
        <w:spacing w:after="40" w:before="40"/>
        <w:jc w:val="center"/>
      </w:pPr>
      <w:r>
        <w:rPr>
          <w:rFonts w:ascii="Georgia" w:cs="Georgia" w:eastAsia="Georgia" w:hAnsi="Georgia"/>
          <w:color w:val="777777"/>
          <w:sz w:val="18"/>
          <w:szCs w:val="18"/>
        </w:rPr>
        <w:t xml:space="preserve">New York, NY  |  victoria.hartwell@exec.com  |  +1 (212) 555-0312</w:t>
      </w:r>
    </w:p>
    <w:p>
      <w:pPr>
        <w:pBdr>
          <w:top w:val="double" w:color="B8860B" w:sz="6" w:space="1"/>
          <w:bottom w:val="double" w:color="B8860B" w:sz="6" w:space="1"/>
        </w:pBdr>
        <w:spacing w:after="60" w:before="60"/>
      </w:pPr>
    </w:p>
    <w:p>
      <w:pPr>
        <w:spacing w:after="80" w:before="6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76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single" w:color="DDDDDD" w:sz="6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pBdr>
                <w:bottom w:val="single" w:color="B8860B" w:sz="8" w:space="2"/>
              </w:pBdr>
              <w:spacing w:after="60" w:before="180"/>
            </w:pPr>
            <w:r>
              <w:rPr>
                <w:rFonts w:ascii="Georgia" w:cs="Georgia" w:eastAsia="Georgia" w:hAnsi="Georgia"/>
                <w:b/>
                <w:bCs/>
                <w:caps/>
                <w:color w:val="1B2A4A"/>
                <w:sz w:val="22"/>
                <w:szCs w:val="22"/>
              </w:rPr>
              <w:t xml:space="preserve">Contact</w:t>
            </w:r>
          </w:p>
          <w:p>
            <w:pPr>
              <w:spacing w:after="20" w:before="20"/>
            </w:pPr>
            <w:r>
              <w:rPr>
                <w:rFonts w:ascii="Georgia" w:cs="Georgia" w:eastAsia="Georgia" w:hAnsi="Georgia"/>
                <w:color w:val="444444"/>
                <w:sz w:val="18"/>
                <w:szCs w:val="18"/>
              </w:rPr>
              <w:t xml:space="preserve">victoria.hartwell@exec.com</w:t>
            </w:r>
          </w:p>
          <w:p>
            <w:pPr>
              <w:spacing w:after="20" w:before="20"/>
            </w:pPr>
            <w:r>
              <w:rPr>
                <w:rFonts w:ascii="Georgia" w:cs="Georgia" w:eastAsia="Georgia" w:hAnsi="Georgia"/>
                <w:color w:val="444444"/>
                <w:sz w:val="18"/>
                <w:szCs w:val="18"/>
              </w:rPr>
              <w:t xml:space="preserve">+1 (212) 555-0312</w:t>
            </w:r>
          </w:p>
          <w:p>
            <w:pPr>
              <w:spacing w:after="20" w:before="20"/>
            </w:pPr>
            <w:r>
              <w:rPr>
                <w:rFonts w:ascii="Georgia" w:cs="Georgia" w:eastAsia="Georgia" w:hAnsi="Georgia"/>
                <w:color w:val="444444"/>
                <w:sz w:val="18"/>
                <w:szCs w:val="18"/>
              </w:rPr>
              <w:t xml:space="preserve">New York, NY 10001</w:t>
            </w:r>
          </w:p>
          <w:p>
            <w:pPr>
              <w:spacing w:after="20" w:before="20"/>
            </w:pPr>
            <w:r>
              <w:rPr>
                <w:rFonts w:ascii="Georgia" w:cs="Georgia" w:eastAsia="Georgia" w:hAnsi="Georgia"/>
                <w:color w:val="444444"/>
                <w:sz w:val="18"/>
                <w:szCs w:val="18"/>
              </w:rPr>
              <w:t xml:space="preserve">linkedin.com/in/vhartwell</w:t>
            </w:r>
          </w:p>
          <w:p>
            <w:pPr>
              <w:pBdr>
                <w:bottom w:val="single" w:color="B8860B" w:sz="8" w:space="2"/>
              </w:pBdr>
              <w:spacing w:after="60" w:before="180"/>
            </w:pPr>
            <w:r>
              <w:rPr>
                <w:rFonts w:ascii="Georgia" w:cs="Georgia" w:eastAsia="Georgia" w:hAnsi="Georgia"/>
                <w:b/>
                <w:bCs/>
                <w:caps/>
                <w:color w:val="1B2A4A"/>
                <w:sz w:val="22"/>
                <w:szCs w:val="22"/>
              </w:rPr>
              <w:t xml:space="preserve">Core Competencies</w:t>
            </w:r>
          </w:p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333333"/>
                <w:sz w:val="18"/>
                <w:szCs w:val="18"/>
              </w:rPr>
              <w:t xml:space="preserve">P&amp;L Management</w:t>
            </w:r>
          </w:p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333333"/>
                <w:sz w:val="18"/>
                <w:szCs w:val="18"/>
              </w:rPr>
              <w:t xml:space="preserve">M&amp;A Integration</w:t>
            </w:r>
          </w:p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333333"/>
                <w:sz w:val="18"/>
                <w:szCs w:val="18"/>
              </w:rPr>
              <w:t xml:space="preserve">Board Relations</w:t>
            </w:r>
          </w:p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333333"/>
                <w:sz w:val="18"/>
                <w:szCs w:val="18"/>
              </w:rPr>
              <w:t xml:space="preserve">Organizational Design</w:t>
            </w:r>
          </w:p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333333"/>
                <w:sz w:val="18"/>
                <w:szCs w:val="18"/>
              </w:rPr>
              <w:t xml:space="preserve">Global Expansion</w:t>
            </w:r>
          </w:p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333333"/>
                <w:sz w:val="18"/>
                <w:szCs w:val="18"/>
              </w:rPr>
              <w:t xml:space="preserve">Capital Allocation</w:t>
            </w:r>
          </w:p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333333"/>
                <w:sz w:val="18"/>
                <w:szCs w:val="18"/>
              </w:rPr>
              <w:t xml:space="preserve">Risk Governance</w:t>
            </w:r>
          </w:p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333333"/>
                <w:sz w:val="18"/>
                <w:szCs w:val="18"/>
              </w:rPr>
              <w:t xml:space="preserve">Talent Strategy</w:t>
            </w:r>
          </w:p>
          <w:p>
            <w:pPr>
              <w:pBdr>
                <w:bottom w:val="single" w:color="B8860B" w:sz="8" w:space="2"/>
              </w:pBdr>
              <w:spacing w:after="60" w:before="180"/>
            </w:pPr>
            <w:r>
              <w:rPr>
                <w:rFonts w:ascii="Georgia" w:cs="Georgia" w:eastAsia="Georgia" w:hAnsi="Georgia"/>
                <w:b/>
                <w:bCs/>
                <w:caps/>
                <w:color w:val="1B2A4A"/>
                <w:sz w:val="22"/>
                <w:szCs w:val="22"/>
              </w:rPr>
              <w:t xml:space="preserve">Education</w:t>
            </w:r>
          </w:p>
          <w:p>
            <w:pPr>
              <w:spacing w:after="10" w:before="60"/>
            </w:pPr>
            <w:r>
              <w:rPr>
                <w:rFonts w:ascii="Georgia" w:cs="Georgia" w:eastAsia="Georgia" w:hAnsi="Georgia"/>
                <w:b/>
                <w:bCs/>
                <w:color w:val="222222"/>
                <w:sz w:val="18"/>
                <w:szCs w:val="18"/>
              </w:rPr>
              <w:t xml:space="preserve">MBA, Harvard Business School</w:t>
            </w:r>
          </w:p>
          <w:p>
            <w:pPr>
              <w:spacing w:after="20" w:before="20"/>
            </w:pPr>
            <w:r>
              <w:rPr>
                <w:rFonts w:ascii="Georgia" w:cs="Georgia" w:eastAsia="Georgia" w:hAnsi="Georgia"/>
                <w:color w:val="666666"/>
                <w:sz w:val="17"/>
                <w:szCs w:val="17"/>
              </w:rPr>
              <w:t xml:space="preserve">Graduated 2001 – Baker Scholar</w:t>
            </w:r>
          </w:p>
          <w:p>
            <w:pPr>
              <w:spacing w:after="10" w:before="40"/>
            </w:pPr>
            <w:r>
              <w:rPr>
                <w:rFonts w:ascii="Georgia" w:cs="Georgia" w:eastAsia="Georgia" w:hAnsi="Georgia"/>
                <w:b/>
                <w:bCs/>
                <w:color w:val="222222"/>
                <w:sz w:val="18"/>
                <w:szCs w:val="18"/>
              </w:rPr>
              <w:t xml:space="preserve">B.A. Economics, Yale University</w:t>
            </w:r>
          </w:p>
          <w:p>
            <w:pPr>
              <w:spacing w:after="20" w:before="20"/>
            </w:pPr>
            <w:r>
              <w:rPr>
                <w:rFonts w:ascii="Georgia" w:cs="Georgia" w:eastAsia="Georgia" w:hAnsi="Georgia"/>
                <w:color w:val="666666"/>
                <w:sz w:val="17"/>
                <w:szCs w:val="17"/>
              </w:rPr>
              <w:t xml:space="preserve">Graduated 1997 – Summa Cum Laude</w:t>
            </w:r>
          </w:p>
          <w:p>
            <w:pPr>
              <w:pBdr>
                <w:bottom w:val="single" w:color="B8860B" w:sz="8" w:space="2"/>
              </w:pBdr>
              <w:spacing w:after="60" w:before="180"/>
            </w:pPr>
            <w:r>
              <w:rPr>
                <w:rFonts w:ascii="Georgia" w:cs="Georgia" w:eastAsia="Georgia" w:hAnsi="Georgia"/>
                <w:b/>
                <w:bCs/>
                <w:caps/>
                <w:color w:val="1B2A4A"/>
                <w:sz w:val="22"/>
                <w:szCs w:val="22"/>
              </w:rPr>
              <w:t xml:space="preserve">Board Memberships</w:t>
            </w:r>
          </w:p>
          <w:p>
            <w:pPr>
              <w:spacing w:after="20" w:before="20"/>
            </w:pPr>
            <w:r>
              <w:rPr>
                <w:rFonts w:ascii="Georgia" w:cs="Georgia" w:eastAsia="Georgia" w:hAnsi="Georgia"/>
                <w:color w:val="444444"/>
                <w:sz w:val="18"/>
                <w:szCs w:val="18"/>
              </w:rPr>
              <w:t xml:space="preserve">Audit Committee – FinServ Corp</w:t>
            </w:r>
          </w:p>
          <w:p>
            <w:pPr>
              <w:spacing w:after="20" w:before="20"/>
            </w:pPr>
            <w:r>
              <w:rPr>
                <w:rFonts w:ascii="Georgia" w:cs="Georgia" w:eastAsia="Georgia" w:hAnsi="Georgia"/>
                <w:color w:val="444444"/>
                <w:sz w:val="18"/>
                <w:szCs w:val="18"/>
              </w:rPr>
              <w:t xml:space="preserve">Risk Committee – GlobalTrust Bank</w:t>
            </w:r>
          </w:p>
          <w:p>
            <w:pPr>
              <w:spacing w:after="20" w:before="20"/>
            </w:pPr>
            <w:r>
              <w:rPr>
                <w:rFonts w:ascii="Georgia" w:cs="Georgia" w:eastAsia="Georgia" w:hAnsi="Georgia"/>
                <w:color w:val="444444"/>
                <w:sz w:val="18"/>
                <w:szCs w:val="18"/>
              </w:rPr>
              <w:t xml:space="preserve">Advisory Board – StartupHub NYC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pBdr>
                <w:bottom w:val="single" w:color="B8860B" w:sz="8" w:space="2"/>
              </w:pBdr>
              <w:spacing w:after="60" w:before="180"/>
            </w:pPr>
            <w:r>
              <w:rPr>
                <w:rFonts w:ascii="Georgia" w:cs="Georgia" w:eastAsia="Georgia" w:hAnsi="Georgia"/>
                <w:b/>
                <w:bCs/>
                <w:caps/>
                <w:color w:val="1B2A4A"/>
                <w:sz w:val="22"/>
                <w:szCs w:val="22"/>
              </w:rPr>
              <w:t xml:space="preserve">Professional Summary</w:t>
            </w:r>
          </w:p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333333"/>
                <w:sz w:val="20"/>
                <w:szCs w:val="20"/>
              </w:rPr>
              <w:t xml:space="preserve">Visionary C-suite executive with 22 years of transformative leadership in financial services and fintech. Track record of driving $2B+ in revenue growth, executing 6 successful M&amp;A transactions, and building high-performance global teams. Board member and trusted advisor to Fortune 500 leadership teams.</w:t>
            </w:r>
          </w:p>
          <w:p>
            <w:pPr>
              <w:pBdr>
                <w:bottom w:val="single" w:color="B8860B" w:sz="8" w:space="2"/>
              </w:pBdr>
              <w:spacing w:after="60" w:before="180"/>
            </w:pPr>
            <w:r>
              <w:rPr>
                <w:rFonts w:ascii="Georgia" w:cs="Georgia" w:eastAsia="Georgia" w:hAnsi="Georgia"/>
                <w:b/>
                <w:bCs/>
                <w:caps/>
                <w:color w:val="1B2A4A"/>
                <w:sz w:val="22"/>
                <w:szCs w:val="22"/>
              </w:rPr>
              <w:t xml:space="preserve">Executive Experience</w:t>
            </w:r>
          </w:p>
          <w:p>
            <w:pPr>
              <w:tabs>
                <w:tab w:val="right" w:pos="7300"/>
              </w:tabs>
              <w:spacing w:after="20" w:before="120"/>
            </w:pPr>
            <w:r>
              <w:rPr>
                <w:rFonts w:ascii="Georgia" w:cs="Georgia" w:eastAsia="Georgia" w:hAnsi="Georgia"/>
                <w:b/>
                <w:bCs/>
                <w:color w:val="1B2A4A"/>
                <w:sz w:val="22"/>
                <w:szCs w:val="22"/>
              </w:rPr>
              <w:t xml:space="preserve">Chief Executive Officer</w:t>
            </w:r>
            <w:r>
              <w:rPr>
                <w:rFonts w:ascii="Georgia" w:cs="Georgia" w:eastAsia="Georgia" w:hAnsi="Georgia"/>
                <w:color w:val="666666"/>
                <w:sz w:val="18"/>
                <w:szCs w:val="18"/>
              </w:rPr>
              <w:t xml:space="preserve">	2018 – Present</w:t>
            </w:r>
          </w:p>
          <w:p>
            <w:pPr>
              <w:spacing w:after="40" w:before="0"/>
            </w:pPr>
            <w:r>
              <w:rPr>
                <w:rFonts w:ascii="Georgia" w:cs="Georgia" w:eastAsia="Georgia" w:hAnsi="Georgia"/>
                <w:i/>
                <w:iCs/>
                <w:color w:val="666666"/>
                <w:sz w:val="20"/>
                <w:szCs w:val="20"/>
              </w:rPr>
              <w:t xml:space="preserve">Pinnacle Financial Group, New York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eorgia" w:cs="Georgia" w:eastAsia="Georgia" w:hAnsi="Georgia"/>
                <w:color w:val="333333"/>
                <w:sz w:val="20"/>
                <w:szCs w:val="20"/>
              </w:rPr>
              <w:t xml:space="preserve">Grew annual revenue from $380M to $1.1B through organic growth and 3 strategic acquisitions.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eorgia" w:cs="Georgia" w:eastAsia="Georgia" w:hAnsi="Georgia"/>
                <w:color w:val="333333"/>
                <w:sz w:val="20"/>
                <w:szCs w:val="20"/>
              </w:rPr>
              <w:t xml:space="preserve">Led IPO preparation, resulting in $650M valuation and successful NASDAQ listing in 2022.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eorgia" w:cs="Georgia" w:eastAsia="Georgia" w:hAnsi="Georgia"/>
                <w:color w:val="333333"/>
                <w:sz w:val="20"/>
                <w:szCs w:val="20"/>
              </w:rPr>
              <w:t xml:space="preserve">Built and scaled global team from 420 to 1,800 employees across 12 countries.</w:t>
            </w:r>
          </w:p>
          <w:p>
            <w:pPr>
              <w:tabs>
                <w:tab w:val="right" w:pos="7300"/>
              </w:tabs>
              <w:spacing w:after="20" w:before="120"/>
            </w:pPr>
            <w:r>
              <w:rPr>
                <w:rFonts w:ascii="Georgia" w:cs="Georgia" w:eastAsia="Georgia" w:hAnsi="Georgia"/>
                <w:b/>
                <w:bCs/>
                <w:color w:val="1B2A4A"/>
                <w:sz w:val="22"/>
                <w:szCs w:val="22"/>
              </w:rPr>
              <w:t xml:space="preserve">President &amp; COO</w:t>
            </w:r>
            <w:r>
              <w:rPr>
                <w:rFonts w:ascii="Georgia" w:cs="Georgia" w:eastAsia="Georgia" w:hAnsi="Georgia"/>
                <w:color w:val="666666"/>
                <w:sz w:val="18"/>
                <w:szCs w:val="18"/>
              </w:rPr>
              <w:t xml:space="preserve">	2013 – 2018</w:t>
            </w:r>
          </w:p>
          <w:p>
            <w:pPr>
              <w:spacing w:after="40" w:before="0"/>
            </w:pPr>
            <w:r>
              <w:rPr>
                <w:rFonts w:ascii="Georgia" w:cs="Georgia" w:eastAsia="Georgia" w:hAnsi="Georgia"/>
                <w:i/>
                <w:iCs/>
                <w:color w:val="666666"/>
                <w:sz w:val="20"/>
                <w:szCs w:val="20"/>
              </w:rPr>
              <w:t xml:space="preserve">Meridian Capital Partners, New York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eorgia" w:cs="Georgia" w:eastAsia="Georgia" w:hAnsi="Georgia"/>
                <w:color w:val="333333"/>
                <w:sz w:val="20"/>
                <w:szCs w:val="20"/>
              </w:rPr>
              <w:t xml:space="preserve">Directed $4.2B AUM portfolio across private equity and real estate asset classes.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eorgia" w:cs="Georgia" w:eastAsia="Georgia" w:hAnsi="Georgia"/>
                <w:color w:val="333333"/>
                <w:sz w:val="20"/>
                <w:szCs w:val="20"/>
              </w:rPr>
              <w:t xml:space="preserve">Drove operational transformation that improved EBITDA margins from 18% to 31%.</w:t>
            </w:r>
          </w:p>
          <w:p>
            <w:pPr>
              <w:tabs>
                <w:tab w:val="right" w:pos="7300"/>
              </w:tabs>
              <w:spacing w:after="20" w:before="120"/>
            </w:pPr>
            <w:r>
              <w:rPr>
                <w:rFonts w:ascii="Georgia" w:cs="Georgia" w:eastAsia="Georgia" w:hAnsi="Georgia"/>
                <w:b/>
                <w:bCs/>
                <w:color w:val="1B2A4A"/>
                <w:sz w:val="22"/>
                <w:szCs w:val="22"/>
              </w:rPr>
              <w:t xml:space="preserve">Managing Director</w:t>
            </w:r>
            <w:r>
              <w:rPr>
                <w:rFonts w:ascii="Georgia" w:cs="Georgia" w:eastAsia="Georgia" w:hAnsi="Georgia"/>
                <w:color w:val="666666"/>
                <w:sz w:val="18"/>
                <w:szCs w:val="18"/>
              </w:rPr>
              <w:t xml:space="preserve">	2005 – 2013</w:t>
            </w:r>
          </w:p>
          <w:p>
            <w:pPr>
              <w:spacing w:after="40" w:before="0"/>
            </w:pPr>
            <w:r>
              <w:rPr>
                <w:rFonts w:ascii="Georgia" w:cs="Georgia" w:eastAsia="Georgia" w:hAnsi="Georgia"/>
                <w:i/>
                <w:iCs/>
                <w:color w:val="666666"/>
                <w:sz w:val="20"/>
                <w:szCs w:val="20"/>
              </w:rPr>
              <w:t xml:space="preserve">Goldman Sachs, New York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eorgia" w:cs="Georgia" w:eastAsia="Georgia" w:hAnsi="Georgia"/>
                <w:color w:val="333333"/>
                <w:sz w:val="20"/>
                <w:szCs w:val="20"/>
              </w:rPr>
              <w:t xml:space="preserve">Managed $800M client portfolio; ranked #1 of 42 MDs in client retention two consecutive years.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eorgia" w:cs="Georgia" w:eastAsia="Georgia" w:hAnsi="Georgia"/>
                <w:color w:val="333333"/>
                <w:sz w:val="20"/>
                <w:szCs w:val="20"/>
              </w:rPr>
              <w:t xml:space="preserve">Led 4 cross-border M&amp;A transactions totalling $2.6B in enterprise value.</w:t>
            </w:r>
          </w:p>
        </w:tc>
      </w:tr>
    </w:tbl>
    <w:sectPr>
      <w:pgSz w:w="12240" w:h="15840" w:orient="portrait"/>
      <w:pgMar w:top="9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28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2026-05-09T10:44:58.613Z</dcterms:created>
  <dcterms:modified xsi:type="dcterms:W3CDTF">2026-05-09T10:44:58.613Z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