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1"/>
        <w:gridCol w:w="8809"/>
      </w:tblGrid>
      <w:tr w:rsidR="00500D6E" w:rsidRPr="007C0931" w14:paraId="427D5EB6" w14:textId="77777777" w:rsidTr="007C0931">
        <w:tblPrEx>
          <w:tblCellMar>
            <w:top w:w="0" w:type="dxa"/>
            <w:bottom w:w="0" w:type="dxa"/>
          </w:tblCellMar>
        </w:tblPrEx>
        <w:trPr>
          <w:trHeight w:val="14309"/>
        </w:trPr>
        <w:tc>
          <w:tcPr>
            <w:tcW w:w="34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C2E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55748B9C" w14:textId="77777777" w:rsidR="00500D6E" w:rsidRDefault="00500D6E">
            <w:pPr>
              <w:spacing w:before="260"/>
            </w:pPr>
          </w:p>
          <w:p w14:paraId="731CD442" w14:textId="77777777" w:rsidR="00500D6E" w:rsidRPr="007C0931" w:rsidRDefault="00000000">
            <w:pPr>
              <w:jc w:val="center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olor w:val="FFFFFF"/>
                <w:sz w:val="44"/>
                <w:szCs w:val="44"/>
                <w:lang w:val="en-US"/>
              </w:rPr>
              <w:t>Victoria</w:t>
            </w:r>
          </w:p>
          <w:p w14:paraId="3407DA18" w14:textId="77777777" w:rsidR="00500D6E" w:rsidRPr="007C0931" w:rsidRDefault="00000000">
            <w:pPr>
              <w:jc w:val="center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olor w:val="E8A598"/>
                <w:sz w:val="44"/>
                <w:szCs w:val="44"/>
                <w:lang w:val="en-US"/>
              </w:rPr>
              <w:t>Hartwell</w:t>
            </w:r>
          </w:p>
          <w:p w14:paraId="2C4696C6" w14:textId="77777777" w:rsidR="00500D6E" w:rsidRPr="007C0931" w:rsidRDefault="00000000">
            <w:pPr>
              <w:spacing w:before="16" w:after="60"/>
              <w:jc w:val="center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caps/>
                <w:color w:val="BBBBBB"/>
                <w:spacing w:val="80"/>
                <w:sz w:val="17"/>
                <w:szCs w:val="17"/>
                <w:lang w:val="en-US"/>
              </w:rPr>
              <w:t>CHIEF FINANCIAL OFFICER</w:t>
            </w:r>
          </w:p>
          <w:p w14:paraId="2B12EB6B" w14:textId="77777777" w:rsidR="00500D6E" w:rsidRPr="007C0931" w:rsidRDefault="00500D6E">
            <w:pPr>
              <w:spacing w:before="80"/>
              <w:rPr>
                <w:lang w:val="en-US"/>
              </w:rPr>
            </w:pPr>
          </w:p>
          <w:tbl>
            <w:tblPr>
              <w:tblW w:w="2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68"/>
            </w:tblGrid>
            <w:tr w:rsidR="00500D6E" w:rsidRPr="007C0931" w14:paraId="5B218515" w14:textId="77777777" w:rsidTr="007C0931">
              <w:tblPrEx>
                <w:tblCellMar>
                  <w:top w:w="0" w:type="dxa"/>
                  <w:bottom w:w="0" w:type="dxa"/>
                </w:tblCellMar>
              </w:tblPrEx>
              <w:trPr>
                <w:trHeight w:val="1073"/>
              </w:trPr>
              <w:tc>
                <w:tcPr>
                  <w:tcW w:w="256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2E4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DE3846" w14:textId="77777777" w:rsidR="00500D6E" w:rsidRPr="007C0931" w:rsidRDefault="00000000">
                  <w:pPr>
                    <w:spacing w:before="280" w:after="280"/>
                    <w:jc w:val="center"/>
                    <w:rPr>
                      <w:lang w:val="en-US"/>
                    </w:rPr>
                  </w:pPr>
                  <w:r w:rsidRPr="007C0931">
                    <w:rPr>
                      <w:rFonts w:ascii="Calibri" w:eastAsia="Calibri" w:hAnsi="Calibri" w:cs="Calibri"/>
                      <w:b/>
                      <w:bCs/>
                      <w:color w:val="E8A598"/>
                      <w:sz w:val="22"/>
                      <w:szCs w:val="22"/>
                      <w:lang w:val="en-US"/>
                    </w:rPr>
                    <w:t>◉  PHOTO</w:t>
                  </w:r>
                </w:p>
              </w:tc>
            </w:tr>
          </w:tbl>
          <w:p w14:paraId="2FFB648D" w14:textId="77777777" w:rsidR="00500D6E" w:rsidRPr="007C0931" w:rsidRDefault="00500D6E">
            <w:pPr>
              <w:spacing w:before="180"/>
              <w:rPr>
                <w:lang w:val="en-US"/>
              </w:rPr>
            </w:pPr>
          </w:p>
          <w:p w14:paraId="5A4D3A9B" w14:textId="77777777" w:rsidR="00500D6E" w:rsidRPr="007C0931" w:rsidRDefault="00000000">
            <w:pPr>
              <w:spacing w:before="80" w:after="8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aps/>
                <w:color w:val="E8A598"/>
                <w:sz w:val="18"/>
                <w:szCs w:val="18"/>
                <w:lang w:val="en-US"/>
              </w:rPr>
              <w:t>CONTACT</w:t>
            </w:r>
          </w:p>
          <w:p w14:paraId="5FCE2DCA" w14:textId="77777777" w:rsidR="00500D6E" w:rsidRPr="007C0931" w:rsidRDefault="00000000">
            <w:pPr>
              <w:spacing w:before="48" w:after="48"/>
              <w:rPr>
                <w:lang w:val="en-US"/>
              </w:rPr>
            </w:pPr>
            <w:r w:rsidRPr="007C0931">
              <w:rPr>
                <w:rFonts w:ascii="Segoe UI Emoji" w:eastAsia="Segoe UI Emoji" w:hAnsi="Segoe UI Emoji" w:cs="Segoe UI Emoji"/>
                <w:color w:val="BBBBBB"/>
                <w:sz w:val="18"/>
                <w:szCs w:val="18"/>
                <w:lang w:val="en-US"/>
              </w:rPr>
              <w:t xml:space="preserve">✉  </w:t>
            </w:r>
            <w:r w:rsidRPr="007C0931">
              <w:rPr>
                <w:rFonts w:ascii="Calibri" w:eastAsia="Calibri" w:hAnsi="Calibri" w:cs="Calibri"/>
                <w:color w:val="BBBBBB"/>
                <w:sz w:val="18"/>
                <w:szCs w:val="18"/>
                <w:lang w:val="en-US"/>
              </w:rPr>
              <w:t>v.hartwell@exec.com</w:t>
            </w:r>
          </w:p>
          <w:p w14:paraId="03BF844A" w14:textId="77777777" w:rsidR="00500D6E" w:rsidRPr="007C0931" w:rsidRDefault="00000000">
            <w:pPr>
              <w:spacing w:before="48" w:after="48"/>
              <w:rPr>
                <w:lang w:val="en-US"/>
              </w:rPr>
            </w:pPr>
            <w:r w:rsidRPr="007C0931">
              <w:rPr>
                <w:rFonts w:ascii="Segoe UI Emoji" w:eastAsia="Segoe UI Emoji" w:hAnsi="Segoe UI Emoji" w:cs="Segoe UI Emoji"/>
                <w:color w:val="BBBBBB"/>
                <w:sz w:val="18"/>
                <w:szCs w:val="18"/>
                <w:lang w:val="en-US"/>
              </w:rPr>
              <w:t xml:space="preserve">✆  </w:t>
            </w:r>
            <w:r w:rsidRPr="007C0931">
              <w:rPr>
                <w:rFonts w:ascii="Calibri" w:eastAsia="Calibri" w:hAnsi="Calibri" w:cs="Calibri"/>
                <w:color w:val="BBBBBB"/>
                <w:sz w:val="18"/>
                <w:szCs w:val="18"/>
                <w:lang w:val="en-US"/>
              </w:rPr>
              <w:t>+1 (212) 555-0312</w:t>
            </w:r>
          </w:p>
          <w:p w14:paraId="6542BF8E" w14:textId="77777777" w:rsidR="00500D6E" w:rsidRPr="007C0931" w:rsidRDefault="00000000">
            <w:pPr>
              <w:spacing w:before="48" w:after="48"/>
              <w:rPr>
                <w:lang w:val="en-US"/>
              </w:rPr>
            </w:pPr>
            <w:r w:rsidRPr="007C0931">
              <w:rPr>
                <w:rFonts w:ascii="Segoe UI Emoji" w:eastAsia="Segoe UI Emoji" w:hAnsi="Segoe UI Emoji" w:cs="Segoe UI Emoji"/>
                <w:color w:val="BBBBBB"/>
                <w:sz w:val="18"/>
                <w:szCs w:val="18"/>
                <w:lang w:val="en-US"/>
              </w:rPr>
              <w:t xml:space="preserve">⌂  </w:t>
            </w:r>
            <w:r w:rsidRPr="007C0931">
              <w:rPr>
                <w:rFonts w:ascii="Calibri" w:eastAsia="Calibri" w:hAnsi="Calibri" w:cs="Calibri"/>
                <w:color w:val="BBBBBB"/>
                <w:sz w:val="18"/>
                <w:szCs w:val="18"/>
                <w:lang w:val="en-US"/>
              </w:rPr>
              <w:t>New York, NY 10001</w:t>
            </w:r>
          </w:p>
          <w:p w14:paraId="4CBB9F06" w14:textId="77777777" w:rsidR="00500D6E" w:rsidRPr="007C0931" w:rsidRDefault="00000000">
            <w:pPr>
              <w:spacing w:before="48" w:after="48"/>
              <w:rPr>
                <w:lang w:val="en-US"/>
              </w:rPr>
            </w:pPr>
            <w:r w:rsidRPr="007C0931">
              <w:rPr>
                <w:rFonts w:ascii="Segoe UI Emoji" w:eastAsia="Segoe UI Emoji" w:hAnsi="Segoe UI Emoji" w:cs="Segoe UI Emoji"/>
                <w:color w:val="BBBBBB"/>
                <w:sz w:val="18"/>
                <w:szCs w:val="18"/>
                <w:lang w:val="en-US"/>
              </w:rPr>
              <w:t xml:space="preserve">⚲  </w:t>
            </w:r>
            <w:r w:rsidRPr="007C0931">
              <w:rPr>
                <w:rFonts w:ascii="Calibri" w:eastAsia="Calibri" w:hAnsi="Calibri" w:cs="Calibri"/>
                <w:color w:val="BBBBBB"/>
                <w:sz w:val="18"/>
                <w:szCs w:val="18"/>
                <w:lang w:val="en-US"/>
              </w:rPr>
              <w:t>linkedin.com/in/vhartwell</w:t>
            </w:r>
          </w:p>
          <w:p w14:paraId="54D08D5C" w14:textId="77777777" w:rsidR="00500D6E" w:rsidRPr="007C0931" w:rsidRDefault="00500D6E">
            <w:pPr>
              <w:spacing w:before="180"/>
              <w:rPr>
                <w:lang w:val="en-US"/>
              </w:rPr>
            </w:pPr>
          </w:p>
          <w:p w14:paraId="5FCBD6A4" w14:textId="77777777" w:rsidR="00500D6E" w:rsidRPr="007C0931" w:rsidRDefault="00000000">
            <w:pPr>
              <w:spacing w:before="80" w:after="8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aps/>
                <w:color w:val="E8A598"/>
                <w:sz w:val="18"/>
                <w:szCs w:val="18"/>
                <w:lang w:val="en-US"/>
              </w:rPr>
              <w:t>CORE COMPETENCIES</w:t>
            </w:r>
          </w:p>
          <w:p w14:paraId="29F631B6" w14:textId="77777777" w:rsidR="00500D6E" w:rsidRPr="007C0931" w:rsidRDefault="00000000">
            <w:pPr>
              <w:spacing w:before="44" w:after="44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Strategic Financial Planning</w:t>
            </w:r>
            <w:r w:rsidRPr="007C0931">
              <w:rPr>
                <w:rFonts w:ascii="Arial" w:eastAsia="Arial" w:hAnsi="Arial" w:cs="Arial"/>
                <w:color w:val="E8A598"/>
                <w:sz w:val="14"/>
                <w:szCs w:val="14"/>
                <w:lang w:val="en-US"/>
              </w:rPr>
              <w:t xml:space="preserve">  ■■■■■■■■■</w:t>
            </w:r>
            <w:r w:rsidRPr="007C0931">
              <w:rPr>
                <w:rFonts w:ascii="Arial" w:eastAsia="Arial" w:hAnsi="Arial" w:cs="Arial"/>
                <w:color w:val="444466"/>
                <w:sz w:val="14"/>
                <w:szCs w:val="14"/>
                <w:lang w:val="en-US"/>
              </w:rPr>
              <w:t>□</w:t>
            </w:r>
          </w:p>
          <w:p w14:paraId="64DDEEAD" w14:textId="77777777" w:rsidR="00500D6E" w:rsidRPr="007C0931" w:rsidRDefault="00000000">
            <w:pPr>
              <w:spacing w:before="44" w:after="44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Investor Relations</w:t>
            </w:r>
            <w:r w:rsidRPr="007C0931">
              <w:rPr>
                <w:rFonts w:ascii="Arial" w:eastAsia="Arial" w:hAnsi="Arial" w:cs="Arial"/>
                <w:color w:val="E8A598"/>
                <w:sz w:val="14"/>
                <w:szCs w:val="14"/>
                <w:lang w:val="en-US"/>
              </w:rPr>
              <w:t xml:space="preserve">  ■■■■■■■■■</w:t>
            </w:r>
            <w:r w:rsidRPr="007C0931">
              <w:rPr>
                <w:rFonts w:ascii="Arial" w:eastAsia="Arial" w:hAnsi="Arial" w:cs="Arial"/>
                <w:color w:val="444466"/>
                <w:sz w:val="14"/>
                <w:szCs w:val="14"/>
                <w:lang w:val="en-US"/>
              </w:rPr>
              <w:t>□</w:t>
            </w:r>
          </w:p>
          <w:p w14:paraId="311A61B4" w14:textId="77777777" w:rsidR="00500D6E" w:rsidRPr="007C0931" w:rsidRDefault="00000000">
            <w:pPr>
              <w:spacing w:before="44" w:after="44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M&amp;A Transactions</w:t>
            </w:r>
            <w:r w:rsidRPr="007C0931">
              <w:rPr>
                <w:rFonts w:ascii="Arial" w:eastAsia="Arial" w:hAnsi="Arial" w:cs="Arial"/>
                <w:color w:val="E8A598"/>
                <w:sz w:val="14"/>
                <w:szCs w:val="14"/>
                <w:lang w:val="en-US"/>
              </w:rPr>
              <w:t xml:space="preserve">  ■■■■■■■■</w:t>
            </w:r>
            <w:r w:rsidRPr="007C0931">
              <w:rPr>
                <w:rFonts w:ascii="Arial" w:eastAsia="Arial" w:hAnsi="Arial" w:cs="Arial"/>
                <w:color w:val="444466"/>
                <w:sz w:val="14"/>
                <w:szCs w:val="14"/>
                <w:lang w:val="en-US"/>
              </w:rPr>
              <w:t>□□</w:t>
            </w:r>
          </w:p>
          <w:p w14:paraId="5C22FDB9" w14:textId="77777777" w:rsidR="00500D6E" w:rsidRPr="007C0931" w:rsidRDefault="00000000">
            <w:pPr>
              <w:spacing w:before="44" w:after="44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Risk Management</w:t>
            </w:r>
            <w:r w:rsidRPr="007C0931">
              <w:rPr>
                <w:rFonts w:ascii="Arial" w:eastAsia="Arial" w:hAnsi="Arial" w:cs="Arial"/>
                <w:color w:val="E8A598"/>
                <w:sz w:val="14"/>
                <w:szCs w:val="14"/>
                <w:lang w:val="en-US"/>
              </w:rPr>
              <w:t xml:space="preserve">  ■■■■■■■■■</w:t>
            </w:r>
            <w:r w:rsidRPr="007C0931">
              <w:rPr>
                <w:rFonts w:ascii="Arial" w:eastAsia="Arial" w:hAnsi="Arial" w:cs="Arial"/>
                <w:color w:val="444466"/>
                <w:sz w:val="14"/>
                <w:szCs w:val="14"/>
                <w:lang w:val="en-US"/>
              </w:rPr>
              <w:t>□</w:t>
            </w:r>
          </w:p>
          <w:p w14:paraId="456C790D" w14:textId="77777777" w:rsidR="00500D6E" w:rsidRPr="007C0931" w:rsidRDefault="00000000">
            <w:pPr>
              <w:spacing w:before="44" w:after="44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Team Leadership</w:t>
            </w:r>
            <w:r w:rsidRPr="007C0931">
              <w:rPr>
                <w:rFonts w:ascii="Arial" w:eastAsia="Arial" w:hAnsi="Arial" w:cs="Arial"/>
                <w:color w:val="E8A598"/>
                <w:sz w:val="14"/>
                <w:szCs w:val="14"/>
                <w:lang w:val="en-US"/>
              </w:rPr>
              <w:t xml:space="preserve">  ■■■■■■■■■</w:t>
            </w:r>
            <w:r w:rsidRPr="007C0931">
              <w:rPr>
                <w:rFonts w:ascii="Arial" w:eastAsia="Arial" w:hAnsi="Arial" w:cs="Arial"/>
                <w:color w:val="444466"/>
                <w:sz w:val="14"/>
                <w:szCs w:val="14"/>
                <w:lang w:val="en-US"/>
              </w:rPr>
              <w:t>□</w:t>
            </w:r>
          </w:p>
          <w:p w14:paraId="6D6CAF34" w14:textId="77777777" w:rsidR="00500D6E" w:rsidRPr="007C0931" w:rsidRDefault="00500D6E">
            <w:pPr>
              <w:spacing w:before="180"/>
              <w:rPr>
                <w:lang w:val="en-US"/>
              </w:rPr>
            </w:pPr>
          </w:p>
          <w:p w14:paraId="7D8A42AA" w14:textId="77777777" w:rsidR="00500D6E" w:rsidRPr="007C0931" w:rsidRDefault="00000000">
            <w:pPr>
              <w:spacing w:before="80" w:after="8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aps/>
                <w:color w:val="E8A598"/>
                <w:sz w:val="18"/>
                <w:szCs w:val="18"/>
                <w:lang w:val="en-US"/>
              </w:rPr>
              <w:t>EDUCATION</w:t>
            </w:r>
          </w:p>
          <w:p w14:paraId="3C2C7FCD" w14:textId="77777777" w:rsidR="00500D6E" w:rsidRPr="007C0931" w:rsidRDefault="00000000">
            <w:pPr>
              <w:spacing w:before="80" w:after="8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olor w:val="FFFFFF"/>
                <w:sz w:val="19"/>
                <w:szCs w:val="19"/>
                <w:lang w:val="en-US"/>
              </w:rPr>
              <w:t>MBA – Finance</w:t>
            </w:r>
          </w:p>
          <w:p w14:paraId="122FA1AF" w14:textId="77777777" w:rsidR="00500D6E" w:rsidRPr="007C0931" w:rsidRDefault="00000000">
            <w:pPr>
              <w:spacing w:after="40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AAAAAA"/>
                <w:sz w:val="17"/>
                <w:szCs w:val="17"/>
                <w:lang w:val="en-US"/>
              </w:rPr>
              <w:t>Harvard Business School · 2006</w:t>
            </w:r>
          </w:p>
          <w:p w14:paraId="485A719E" w14:textId="77777777" w:rsidR="00500D6E" w:rsidRPr="007C0931" w:rsidRDefault="00000000">
            <w:pPr>
              <w:spacing w:before="60" w:after="8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olor w:val="FFFFFF"/>
                <w:sz w:val="19"/>
                <w:szCs w:val="19"/>
                <w:lang w:val="en-US"/>
              </w:rPr>
              <w:t>B.A. Economics</w:t>
            </w:r>
          </w:p>
          <w:p w14:paraId="50C59955" w14:textId="77777777" w:rsidR="00500D6E" w:rsidRPr="007C0931" w:rsidRDefault="00000000">
            <w:pPr>
              <w:spacing w:after="40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AAAAAA"/>
                <w:sz w:val="17"/>
                <w:szCs w:val="17"/>
                <w:lang w:val="en-US"/>
              </w:rPr>
              <w:t>Yale University · 2003</w:t>
            </w:r>
          </w:p>
          <w:p w14:paraId="4798310A" w14:textId="77777777" w:rsidR="00500D6E" w:rsidRPr="007C0931" w:rsidRDefault="00500D6E">
            <w:pPr>
              <w:spacing w:before="180"/>
              <w:rPr>
                <w:lang w:val="en-US"/>
              </w:rPr>
            </w:pPr>
          </w:p>
          <w:p w14:paraId="349E1A56" w14:textId="77777777" w:rsidR="00500D6E" w:rsidRPr="007C0931" w:rsidRDefault="00000000">
            <w:pPr>
              <w:spacing w:before="80" w:after="8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aps/>
                <w:color w:val="E8A598"/>
                <w:sz w:val="18"/>
                <w:szCs w:val="18"/>
                <w:lang w:val="en-US"/>
              </w:rPr>
              <w:t>CERTIFICATIONS</w:t>
            </w:r>
          </w:p>
          <w:p w14:paraId="30651695" w14:textId="77777777" w:rsidR="00500D6E" w:rsidRPr="007C0931" w:rsidRDefault="00000000">
            <w:pPr>
              <w:spacing w:before="48" w:after="48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CCCCCC"/>
                <w:sz w:val="17"/>
                <w:szCs w:val="17"/>
                <w:lang w:val="en-US"/>
              </w:rPr>
              <w:t>✦  CFA Charter Holder (2008)</w:t>
            </w:r>
          </w:p>
          <w:p w14:paraId="31201497" w14:textId="77777777" w:rsidR="00500D6E" w:rsidRDefault="00000000">
            <w:pPr>
              <w:spacing w:before="48" w:after="48"/>
            </w:pPr>
            <w:proofErr w:type="gramStart"/>
            <w:r>
              <w:rPr>
                <w:rFonts w:ascii="Calibri" w:eastAsia="Calibri" w:hAnsi="Calibri" w:cs="Calibri"/>
                <w:color w:val="CCCCCC"/>
                <w:sz w:val="17"/>
                <w:szCs w:val="17"/>
              </w:rPr>
              <w:t>✦  ACCA</w:t>
            </w:r>
            <w:proofErr w:type="gramEnd"/>
            <w:r>
              <w:rPr>
                <w:rFonts w:ascii="Calibri" w:eastAsia="Calibri" w:hAnsi="Calibri" w:cs="Calibri"/>
                <w:color w:val="CCCC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CCCCCC"/>
                <w:sz w:val="17"/>
                <w:szCs w:val="17"/>
              </w:rPr>
              <w:t>Member</w:t>
            </w:r>
            <w:proofErr w:type="spellEnd"/>
            <w:r>
              <w:rPr>
                <w:rFonts w:ascii="Calibri" w:eastAsia="Calibri" w:hAnsi="Calibri" w:cs="Calibri"/>
                <w:color w:val="CCCCCC"/>
                <w:sz w:val="17"/>
                <w:szCs w:val="17"/>
              </w:rPr>
              <w:t xml:space="preserve"> (2009)</w:t>
            </w:r>
          </w:p>
          <w:p w14:paraId="36C2C31E" w14:textId="77777777" w:rsidR="00500D6E" w:rsidRDefault="00000000">
            <w:pPr>
              <w:spacing w:before="48" w:after="48"/>
            </w:pPr>
            <w:proofErr w:type="gramStart"/>
            <w:r>
              <w:rPr>
                <w:rFonts w:ascii="Calibri" w:eastAsia="Calibri" w:hAnsi="Calibri" w:cs="Calibri"/>
                <w:color w:val="CCCCCC"/>
                <w:sz w:val="17"/>
                <w:szCs w:val="17"/>
              </w:rPr>
              <w:t>✦  Board</w:t>
            </w:r>
            <w:proofErr w:type="gramEnd"/>
            <w:r>
              <w:rPr>
                <w:rFonts w:ascii="Calibri" w:eastAsia="Calibri" w:hAnsi="Calibri" w:cs="Calibri"/>
                <w:color w:val="CCCCCC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CCCCCC"/>
                <w:sz w:val="17"/>
                <w:szCs w:val="17"/>
              </w:rPr>
              <w:t>Director</w:t>
            </w:r>
            <w:proofErr w:type="spellEnd"/>
            <w:r>
              <w:rPr>
                <w:rFonts w:ascii="Calibri" w:eastAsia="Calibri" w:hAnsi="Calibri" w:cs="Calibri"/>
                <w:color w:val="CCCCCC"/>
                <w:sz w:val="17"/>
                <w:szCs w:val="17"/>
              </w:rPr>
              <w:t xml:space="preserve"> – NACD</w:t>
            </w:r>
          </w:p>
          <w:p w14:paraId="68C41CB4" w14:textId="77777777" w:rsidR="00500D6E" w:rsidRDefault="00500D6E">
            <w:pPr>
              <w:spacing w:before="200"/>
            </w:pPr>
          </w:p>
        </w:tc>
        <w:tc>
          <w:tcPr>
            <w:tcW w:w="880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6F0"/>
            <w:tcMar>
              <w:top w:w="560" w:type="dxa"/>
              <w:left w:w="560" w:type="dxa"/>
              <w:bottom w:w="560" w:type="dxa"/>
              <w:right w:w="560" w:type="dxa"/>
            </w:tcMar>
          </w:tcPr>
          <w:p w14:paraId="468E182E" w14:textId="77777777" w:rsidR="00500D6E" w:rsidRPr="007C0931" w:rsidRDefault="00500D6E">
            <w:pPr>
              <w:spacing w:before="260"/>
              <w:rPr>
                <w:lang w:val="en-US"/>
              </w:rPr>
            </w:pPr>
          </w:p>
          <w:p w14:paraId="5442810A" w14:textId="77777777" w:rsidR="00500D6E" w:rsidRPr="007C0931" w:rsidRDefault="00000000">
            <w:pPr>
              <w:spacing w:after="18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i/>
                <w:iCs/>
                <w:color w:val="444444"/>
                <w:lang w:val="en-US"/>
              </w:rPr>
              <w:t>Visionary CFO with 18 years steering financial strategy for Fortune 500 companies and PE-backed growth businesses. Track record of executing $14B+ in M&amp;A transactions, leading IPO processes, and building high-performing finance teams across 12 countries.</w:t>
            </w:r>
          </w:p>
          <w:p w14:paraId="165D3ECB" w14:textId="77777777" w:rsidR="00500D6E" w:rsidRPr="007C0931" w:rsidRDefault="00000000">
            <w:pPr>
              <w:pBdr>
                <w:bottom w:val="single" w:sz="6" w:space="2" w:color="1C1C2E"/>
              </w:pBdr>
              <w:spacing w:before="200" w:after="8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olor w:val="1C1C2E"/>
                <w:sz w:val="21"/>
                <w:szCs w:val="21"/>
                <w:lang w:val="en-US"/>
              </w:rPr>
              <w:t>EXECUTIVE EXPERIENCE</w:t>
            </w:r>
          </w:p>
          <w:p w14:paraId="123EA347" w14:textId="77777777" w:rsidR="00500D6E" w:rsidRPr="007C0931" w:rsidRDefault="00000000">
            <w:pPr>
              <w:spacing w:before="15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olor w:val="1C1C2E"/>
                <w:sz w:val="22"/>
                <w:szCs w:val="22"/>
                <w:lang w:val="en-US"/>
              </w:rPr>
              <w:t>Chief Financial Officer</w:t>
            </w:r>
          </w:p>
          <w:p w14:paraId="080A90BF" w14:textId="77777777" w:rsidR="00500D6E" w:rsidRPr="007C0931" w:rsidRDefault="00000000">
            <w:pPr>
              <w:spacing w:after="3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i/>
                <w:iCs/>
                <w:color w:val="888888"/>
                <w:sz w:val="18"/>
                <w:szCs w:val="18"/>
                <w:lang w:val="en-US"/>
              </w:rPr>
              <w:t>Pinnacle Financial Group, New York NY</w:t>
            </w:r>
            <w:r w:rsidRPr="007C0931">
              <w:rPr>
                <w:rFonts w:ascii="Georgia" w:eastAsia="Georgia" w:hAnsi="Georgia" w:cs="Georgia"/>
                <w:color w:val="888888"/>
                <w:sz w:val="18"/>
                <w:szCs w:val="18"/>
                <w:lang w:val="en-US"/>
              </w:rPr>
              <w:t xml:space="preserve">  ·  2018 – Present</w:t>
            </w:r>
          </w:p>
          <w:p w14:paraId="185F9A79" w14:textId="77777777" w:rsidR="00500D6E" w:rsidRPr="007C0931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color w:val="444444"/>
                <w:sz w:val="19"/>
                <w:szCs w:val="19"/>
                <w:lang w:val="en-US"/>
              </w:rPr>
              <w:t>Led $1.2Bn bond issuance on EU capital markets and negotiated covenant package.</w:t>
            </w:r>
          </w:p>
          <w:p w14:paraId="26B5D872" w14:textId="77777777" w:rsidR="00500D6E" w:rsidRPr="007C0931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color w:val="444444"/>
                <w:sz w:val="19"/>
                <w:szCs w:val="19"/>
                <w:lang w:val="en-US"/>
              </w:rPr>
              <w:t>Coordinated due diligence for three acquisitions (combined value $340M).</w:t>
            </w:r>
          </w:p>
          <w:p w14:paraId="293D41A4" w14:textId="77777777" w:rsidR="00500D6E" w:rsidRPr="007C0931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color w:val="444444"/>
                <w:sz w:val="19"/>
                <w:szCs w:val="19"/>
                <w:lang w:val="en-US"/>
              </w:rPr>
              <w:t>Built and scaled an 18-person finance team; team eNPS 87.</w:t>
            </w:r>
          </w:p>
          <w:p w14:paraId="2E0BFB35" w14:textId="77777777" w:rsidR="00500D6E" w:rsidRPr="007C0931" w:rsidRDefault="00000000">
            <w:pPr>
              <w:spacing w:before="15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olor w:val="1C1C2E"/>
                <w:sz w:val="22"/>
                <w:szCs w:val="22"/>
                <w:lang w:val="en-US"/>
              </w:rPr>
              <w:t>CFO</w:t>
            </w:r>
          </w:p>
          <w:p w14:paraId="1CB0F6CC" w14:textId="77777777" w:rsidR="00500D6E" w:rsidRPr="007C0931" w:rsidRDefault="00000000">
            <w:pPr>
              <w:spacing w:after="3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i/>
                <w:iCs/>
                <w:color w:val="888888"/>
                <w:sz w:val="18"/>
                <w:szCs w:val="18"/>
                <w:lang w:val="en-US"/>
              </w:rPr>
              <w:t>Konecranes International, New York NY</w:t>
            </w:r>
            <w:r w:rsidRPr="007C0931">
              <w:rPr>
                <w:rFonts w:ascii="Georgia" w:eastAsia="Georgia" w:hAnsi="Georgia" w:cs="Georgia"/>
                <w:color w:val="888888"/>
                <w:sz w:val="18"/>
                <w:szCs w:val="18"/>
                <w:lang w:val="en-US"/>
              </w:rPr>
              <w:t xml:space="preserve">  ·  2013 – 2018</w:t>
            </w:r>
          </w:p>
          <w:p w14:paraId="4BF8C215" w14:textId="77777777" w:rsidR="00500D6E" w:rsidRPr="007C0931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color w:val="444444"/>
                <w:sz w:val="19"/>
                <w:szCs w:val="19"/>
                <w:lang w:val="en-US"/>
              </w:rPr>
              <w:t>Optimised capital structure: WACC reduced from 8.4 % to 6.1 %.</w:t>
            </w:r>
          </w:p>
          <w:p w14:paraId="213A6E88" w14:textId="77777777" w:rsidR="00500D6E" w:rsidRPr="007C0931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color w:val="444444"/>
                <w:sz w:val="19"/>
                <w:szCs w:val="19"/>
                <w:lang w:val="en-US"/>
              </w:rPr>
              <w:t>Accelerated quarterly close cycle by 5 days through automation.</w:t>
            </w:r>
          </w:p>
          <w:p w14:paraId="59AF1525" w14:textId="77777777" w:rsidR="00500D6E" w:rsidRPr="007C0931" w:rsidRDefault="00000000">
            <w:pPr>
              <w:spacing w:before="15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olor w:val="1C1C2E"/>
                <w:sz w:val="22"/>
                <w:szCs w:val="22"/>
                <w:lang w:val="en-US"/>
              </w:rPr>
              <w:t>VP Finance</w:t>
            </w:r>
          </w:p>
          <w:p w14:paraId="2CCB200F" w14:textId="77777777" w:rsidR="00500D6E" w:rsidRPr="007C0931" w:rsidRDefault="00000000">
            <w:pPr>
              <w:spacing w:after="3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i/>
                <w:iCs/>
                <w:color w:val="888888"/>
                <w:sz w:val="18"/>
                <w:szCs w:val="18"/>
                <w:lang w:val="en-US"/>
              </w:rPr>
              <w:t>Goldman Sachs, New York NY</w:t>
            </w:r>
            <w:r w:rsidRPr="007C0931">
              <w:rPr>
                <w:rFonts w:ascii="Georgia" w:eastAsia="Georgia" w:hAnsi="Georgia" w:cs="Georgia"/>
                <w:color w:val="888888"/>
                <w:sz w:val="18"/>
                <w:szCs w:val="18"/>
                <w:lang w:val="en-US"/>
              </w:rPr>
              <w:t xml:space="preserve">  ·  2006 – 2013</w:t>
            </w:r>
          </w:p>
          <w:p w14:paraId="07999D58" w14:textId="77777777" w:rsidR="00500D6E" w:rsidRPr="007C0931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color w:val="444444"/>
                <w:sz w:val="19"/>
                <w:szCs w:val="19"/>
                <w:lang w:val="en-US"/>
              </w:rPr>
              <w:t>Managed $780M institutional investment portfolio; ranked #1 for client retention.</w:t>
            </w:r>
          </w:p>
          <w:p w14:paraId="2B35EDCB" w14:textId="77777777" w:rsidR="00500D6E" w:rsidRPr="007C0931" w:rsidRDefault="00000000">
            <w:pPr>
              <w:pBdr>
                <w:bottom w:val="single" w:sz="6" w:space="2" w:color="1C1C2E"/>
              </w:pBdr>
              <w:spacing w:before="220" w:after="8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olor w:val="1C1C2E"/>
                <w:sz w:val="21"/>
                <w:szCs w:val="21"/>
                <w:lang w:val="en-US"/>
              </w:rPr>
              <w:t>BOARD MEMBERSHIPS</w:t>
            </w:r>
          </w:p>
          <w:p w14:paraId="4EF060C2" w14:textId="77777777" w:rsidR="00500D6E" w:rsidRPr="007C0931" w:rsidRDefault="00000000">
            <w:pPr>
              <w:spacing w:before="70" w:after="4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color w:val="444444"/>
                <w:sz w:val="19"/>
                <w:szCs w:val="19"/>
                <w:lang w:val="en-US"/>
              </w:rPr>
              <w:t>◈  Audit Committee Chair – TechNord Corp</w:t>
            </w:r>
          </w:p>
          <w:p w14:paraId="76BCCE69" w14:textId="77777777" w:rsidR="00500D6E" w:rsidRPr="007C0931" w:rsidRDefault="00000000">
            <w:pPr>
              <w:spacing w:before="70" w:after="4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color w:val="444444"/>
                <w:sz w:val="19"/>
                <w:szCs w:val="19"/>
                <w:lang w:val="en-US"/>
              </w:rPr>
              <w:t>◈  Risk Committee – Global Trust Funds</w:t>
            </w:r>
          </w:p>
          <w:p w14:paraId="44478D7A" w14:textId="77777777" w:rsidR="00500D6E" w:rsidRPr="007C0931" w:rsidRDefault="00000000">
            <w:pPr>
              <w:spacing w:before="70" w:after="4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color w:val="444444"/>
                <w:sz w:val="19"/>
                <w:szCs w:val="19"/>
                <w:lang w:val="en-US"/>
              </w:rPr>
              <w:t>◈  Advisory Board – Columbia Business School</w:t>
            </w:r>
          </w:p>
          <w:p w14:paraId="080B5A90" w14:textId="77777777" w:rsidR="00500D6E" w:rsidRPr="007C0931" w:rsidRDefault="00000000">
            <w:pPr>
              <w:pBdr>
                <w:bottom w:val="single" w:sz="6" w:space="2" w:color="1C1C2E"/>
              </w:pBdr>
              <w:spacing w:before="180" w:after="80"/>
              <w:rPr>
                <w:lang w:val="en-US"/>
              </w:rPr>
            </w:pPr>
            <w:r w:rsidRPr="007C0931">
              <w:rPr>
                <w:rFonts w:ascii="Georgia" w:eastAsia="Georgia" w:hAnsi="Georgia" w:cs="Georgia"/>
                <w:b/>
                <w:bCs/>
                <w:color w:val="1C1C2E"/>
                <w:sz w:val="21"/>
                <w:szCs w:val="21"/>
                <w:lang w:val="en-US"/>
              </w:rPr>
              <w:t>AWARDS</w:t>
            </w:r>
          </w:p>
          <w:p w14:paraId="369E069A" w14:textId="77777777" w:rsidR="00500D6E" w:rsidRPr="007C0931" w:rsidRDefault="00000000">
            <w:pPr>
              <w:spacing w:before="60" w:after="40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★  CFO of the Year – CFO Magazine 2023</w:t>
            </w:r>
          </w:p>
          <w:p w14:paraId="677015F0" w14:textId="77777777" w:rsidR="00500D6E" w:rsidRPr="007C0931" w:rsidRDefault="00000000">
            <w:pPr>
              <w:spacing w:before="60" w:after="40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★  "Sustainable Finance" – Harvard Business Review, 2022</w:t>
            </w:r>
          </w:p>
          <w:p w14:paraId="520689C7" w14:textId="77777777" w:rsidR="00500D6E" w:rsidRPr="007C0931" w:rsidRDefault="00000000">
            <w:pPr>
              <w:spacing w:before="60" w:after="40"/>
              <w:rPr>
                <w:lang w:val="en-US"/>
              </w:rPr>
            </w:pPr>
            <w:r w:rsidRPr="007C0931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★  Financial Influencer of the Year – Forbes 2021</w:t>
            </w:r>
          </w:p>
          <w:p w14:paraId="5FE07F38" w14:textId="77777777" w:rsidR="00500D6E" w:rsidRPr="007C0931" w:rsidRDefault="00500D6E">
            <w:pPr>
              <w:spacing w:before="200"/>
              <w:rPr>
                <w:lang w:val="en-US"/>
              </w:rPr>
            </w:pPr>
          </w:p>
        </w:tc>
      </w:tr>
    </w:tbl>
    <w:p w14:paraId="5EA73E03" w14:textId="77777777" w:rsidR="008F011A" w:rsidRPr="007C0931" w:rsidRDefault="008F011A">
      <w:pPr>
        <w:rPr>
          <w:lang w:val="en-US"/>
        </w:rPr>
      </w:pPr>
    </w:p>
    <w:sectPr w:rsidR="008F011A" w:rsidRPr="007C0931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26D"/>
    <w:multiLevelType w:val="hybridMultilevel"/>
    <w:tmpl w:val="0CFED066"/>
    <w:lvl w:ilvl="0" w:tplc="66205812">
      <w:start w:val="1"/>
      <w:numFmt w:val="bullet"/>
      <w:lvlText w:val="●"/>
      <w:lvlJc w:val="left"/>
      <w:pPr>
        <w:ind w:left="720" w:hanging="360"/>
      </w:pPr>
    </w:lvl>
    <w:lvl w:ilvl="1" w:tplc="0396132A">
      <w:start w:val="1"/>
      <w:numFmt w:val="bullet"/>
      <w:lvlText w:val="○"/>
      <w:lvlJc w:val="left"/>
      <w:pPr>
        <w:ind w:left="1440" w:hanging="360"/>
      </w:pPr>
    </w:lvl>
    <w:lvl w:ilvl="2" w:tplc="9176CC4E">
      <w:start w:val="1"/>
      <w:numFmt w:val="bullet"/>
      <w:lvlText w:val="■"/>
      <w:lvlJc w:val="left"/>
      <w:pPr>
        <w:ind w:left="2160" w:hanging="360"/>
      </w:pPr>
    </w:lvl>
    <w:lvl w:ilvl="3" w:tplc="833C3262">
      <w:start w:val="1"/>
      <w:numFmt w:val="bullet"/>
      <w:lvlText w:val="●"/>
      <w:lvlJc w:val="left"/>
      <w:pPr>
        <w:ind w:left="2880" w:hanging="360"/>
      </w:pPr>
    </w:lvl>
    <w:lvl w:ilvl="4" w:tplc="41A60FE0">
      <w:start w:val="1"/>
      <w:numFmt w:val="bullet"/>
      <w:lvlText w:val="○"/>
      <w:lvlJc w:val="left"/>
      <w:pPr>
        <w:ind w:left="3600" w:hanging="360"/>
      </w:pPr>
    </w:lvl>
    <w:lvl w:ilvl="5" w:tplc="43A8E276">
      <w:start w:val="1"/>
      <w:numFmt w:val="bullet"/>
      <w:lvlText w:val="■"/>
      <w:lvlJc w:val="left"/>
      <w:pPr>
        <w:ind w:left="4320" w:hanging="360"/>
      </w:pPr>
    </w:lvl>
    <w:lvl w:ilvl="6" w:tplc="61A2E490">
      <w:start w:val="1"/>
      <w:numFmt w:val="bullet"/>
      <w:lvlText w:val="●"/>
      <w:lvlJc w:val="left"/>
      <w:pPr>
        <w:ind w:left="5040" w:hanging="360"/>
      </w:pPr>
    </w:lvl>
    <w:lvl w:ilvl="7" w:tplc="0C76457A">
      <w:start w:val="1"/>
      <w:numFmt w:val="bullet"/>
      <w:lvlText w:val="●"/>
      <w:lvlJc w:val="left"/>
      <w:pPr>
        <w:ind w:left="5760" w:hanging="360"/>
      </w:pPr>
    </w:lvl>
    <w:lvl w:ilvl="8" w:tplc="F09C3B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1803F23"/>
    <w:multiLevelType w:val="hybridMultilevel"/>
    <w:tmpl w:val="AB9AC680"/>
    <w:lvl w:ilvl="0" w:tplc="D76E4194">
      <w:start w:val="1"/>
      <w:numFmt w:val="bullet"/>
      <w:lvlText w:val="•"/>
      <w:lvlJc w:val="left"/>
      <w:pPr>
        <w:ind w:left="360" w:hanging="260"/>
      </w:pPr>
    </w:lvl>
    <w:lvl w:ilvl="1" w:tplc="26CCAA98">
      <w:numFmt w:val="decimal"/>
      <w:lvlText w:val=""/>
      <w:lvlJc w:val="left"/>
    </w:lvl>
    <w:lvl w:ilvl="2" w:tplc="07F83682">
      <w:numFmt w:val="decimal"/>
      <w:lvlText w:val=""/>
      <w:lvlJc w:val="left"/>
    </w:lvl>
    <w:lvl w:ilvl="3" w:tplc="A6A45EEE">
      <w:numFmt w:val="decimal"/>
      <w:lvlText w:val=""/>
      <w:lvlJc w:val="left"/>
    </w:lvl>
    <w:lvl w:ilvl="4" w:tplc="693EEDC8">
      <w:numFmt w:val="decimal"/>
      <w:lvlText w:val=""/>
      <w:lvlJc w:val="left"/>
    </w:lvl>
    <w:lvl w:ilvl="5" w:tplc="C99C23DE">
      <w:numFmt w:val="decimal"/>
      <w:lvlText w:val=""/>
      <w:lvlJc w:val="left"/>
    </w:lvl>
    <w:lvl w:ilvl="6" w:tplc="4780457A">
      <w:numFmt w:val="decimal"/>
      <w:lvlText w:val=""/>
      <w:lvlJc w:val="left"/>
    </w:lvl>
    <w:lvl w:ilvl="7" w:tplc="BB8219DC">
      <w:numFmt w:val="decimal"/>
      <w:lvlText w:val=""/>
      <w:lvlJc w:val="left"/>
    </w:lvl>
    <w:lvl w:ilvl="8" w:tplc="667E5E04">
      <w:numFmt w:val="decimal"/>
      <w:lvlText w:val=""/>
      <w:lvlJc w:val="left"/>
    </w:lvl>
  </w:abstractNum>
  <w:num w:numId="1" w16cid:durableId="653950513">
    <w:abstractNumId w:val="0"/>
    <w:lvlOverride w:ilvl="0">
      <w:startOverride w:val="1"/>
    </w:lvlOverride>
  </w:num>
  <w:num w:numId="2" w16cid:durableId="2109200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6E"/>
    <w:rsid w:val="00500D6E"/>
    <w:rsid w:val="007C0931"/>
    <w:rsid w:val="008F011A"/>
    <w:rsid w:val="00D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D1C1"/>
  <w15:docId w15:val="{617B816B-5AF5-4E0D-B942-23C0E9F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2026-05-09T16:47:00Z</dcterms:created>
  <dcterms:modified xsi:type="dcterms:W3CDTF">2026-05-09T16:53:00Z</dcterms:modified>
</cp:coreProperties>
</file>