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8"/>
        <w:gridCol w:w="3800"/>
      </w:tblGrid>
      <w:tr w:rsidR="006B3E0E" w:rsidRPr="00964745" w14:paraId="70275270" w14:textId="77777777" w:rsidTr="00964745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22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3557"/>
            <w:tcMar>
              <w:top w:w="280" w:type="dxa"/>
              <w:left w:w="560" w:type="dxa"/>
              <w:bottom w:w="220" w:type="dxa"/>
              <w:right w:w="560" w:type="dxa"/>
            </w:tcMar>
          </w:tcPr>
          <w:p w14:paraId="300456F9" w14:textId="77777777" w:rsidR="006B3E0E" w:rsidRPr="00964745" w:rsidRDefault="00000000">
            <w:pPr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FFFFFF"/>
                <w:sz w:val="72"/>
                <w:szCs w:val="72"/>
                <w:lang w:val="en-US"/>
              </w:rPr>
              <w:t>Alex Whitfield</w:t>
            </w:r>
          </w:p>
          <w:p w14:paraId="31895112" w14:textId="77777777" w:rsidR="006B3E0E" w:rsidRPr="00964745" w:rsidRDefault="00000000">
            <w:pPr>
              <w:spacing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aps/>
                <w:color w:val="A8D8EA"/>
                <w:spacing w:val="80"/>
                <w:sz w:val="22"/>
                <w:szCs w:val="22"/>
                <w:lang w:val="en-US"/>
              </w:rPr>
              <w:t>SENIOR PARTNER  ·  CORPORATE &amp; SECURITIES LAW</w:t>
            </w:r>
          </w:p>
          <w:p w14:paraId="7BF7E55E" w14:textId="77777777" w:rsidR="006B3E0E" w:rsidRPr="00964745" w:rsidRDefault="00000000">
            <w:pPr>
              <w:rPr>
                <w:lang w:val="sv-SE"/>
              </w:rPr>
            </w:pPr>
            <w:r w:rsidRPr="00964745">
              <w:rPr>
                <w:rFonts w:ascii="Calibri" w:eastAsia="Calibri" w:hAnsi="Calibri" w:cs="Calibri"/>
                <w:color w:val="94BBD1"/>
                <w:sz w:val="19"/>
                <w:szCs w:val="19"/>
                <w:lang w:val="sv-SE"/>
              </w:rPr>
              <w:t>✉ a.whitfield@law.com  |  ✆ +1 (617) 555-1010  |  Boston, MA  |  Bar: MA &amp; NY</w:t>
            </w:r>
          </w:p>
        </w:tc>
      </w:tr>
      <w:tr w:rsidR="006B3E0E" w:rsidRPr="00964745" w14:paraId="21B0FD19" w14:textId="77777777" w:rsidTr="00964745">
        <w:tblPrEx>
          <w:tblCellMar>
            <w:top w:w="0" w:type="dxa"/>
            <w:bottom w:w="0" w:type="dxa"/>
          </w:tblCellMar>
        </w:tblPrEx>
        <w:trPr>
          <w:trHeight w:val="11732"/>
        </w:trPr>
        <w:tc>
          <w:tcPr>
            <w:tcW w:w="8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2F92864E" w14:textId="77777777" w:rsidR="006B3E0E" w:rsidRPr="00964745" w:rsidRDefault="00000000">
            <w:pPr>
              <w:spacing w:before="160" w:after="20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Senior corporate attorney with 16 years advising Fortune 500 clients and private equity firms on M&amp;A transactions, capital markets, and board governance. Trusted counsel on more than 30 cross-border transactions.</w:t>
            </w:r>
          </w:p>
          <w:p w14:paraId="23371C4E" w14:textId="77777777" w:rsidR="006B3E0E" w:rsidRPr="00964745" w:rsidRDefault="00000000">
            <w:pPr>
              <w:pBdr>
                <w:bottom w:val="single" w:sz="6" w:space="2" w:color="1D3557"/>
              </w:pBdr>
              <w:spacing w:before="20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lang w:val="en-US"/>
              </w:rPr>
              <w:t>WORK EXPERIENCE</w:t>
            </w:r>
          </w:p>
          <w:p w14:paraId="14459822" w14:textId="77777777" w:rsidR="006B3E0E" w:rsidRPr="00964745" w:rsidRDefault="00000000">
            <w:pPr>
              <w:spacing w:before="15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sz w:val="22"/>
                <w:szCs w:val="22"/>
                <w:lang w:val="en-US"/>
              </w:rPr>
              <w:t>Senior Partner – M&amp;A &amp; Corporate Law</w:t>
            </w:r>
          </w:p>
          <w:p w14:paraId="4CEA01E1" w14:textId="77777777" w:rsidR="006B3E0E" w:rsidRDefault="00000000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Sullivan &amp;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Cromwell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 LLP, Boston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2018 – </w:t>
            </w:r>
            <w:proofErr w:type="spellStart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>Present</w:t>
            </w:r>
            <w:proofErr w:type="spellEnd"/>
          </w:p>
          <w:p w14:paraId="4856F10D" w14:textId="77777777" w:rsidR="006B3E0E" w:rsidRPr="0096474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advisory team on Nokia's $1.9Bn acquisition of a US networking firm.</w:t>
            </w:r>
          </w:p>
          <w:p w14:paraId="4A6A512B" w14:textId="77777777" w:rsidR="006B3E0E" w:rsidRPr="0096474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Managed the legal structuring of three NASDAQ listings for growth-stage companies.</w:t>
            </w:r>
          </w:p>
          <w:p w14:paraId="6BB8C977" w14:textId="77777777" w:rsidR="006B3E0E" w:rsidRPr="0096474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Coordinated an 8-partner team project, delivered on a 6-month timeline.</w:t>
            </w:r>
          </w:p>
          <w:p w14:paraId="2B15DB2F" w14:textId="77777777" w:rsidR="006B3E0E" w:rsidRPr="00964745" w:rsidRDefault="00000000">
            <w:pPr>
              <w:spacing w:before="15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sz w:val="22"/>
                <w:szCs w:val="22"/>
                <w:lang w:val="en-US"/>
              </w:rPr>
              <w:t>Counsel – Corporate Law</w:t>
            </w:r>
          </w:p>
          <w:p w14:paraId="008664C8" w14:textId="77777777" w:rsidR="006B3E0E" w:rsidRPr="00964745" w:rsidRDefault="00000000">
            <w:pPr>
              <w:spacing w:after="3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Ropes &amp; Gray LLP, Boston MA</w:t>
            </w:r>
            <w:r w:rsidRPr="00964745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2013 – 2018</w:t>
            </w:r>
          </w:p>
          <w:p w14:paraId="3ED503CE" w14:textId="77777777" w:rsidR="006B3E0E" w:rsidRPr="0096474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Advised clients on 14 mid-market M&amp;A deals (combined value $290M).</w:t>
            </w:r>
          </w:p>
          <w:p w14:paraId="0CFFC3B1" w14:textId="77777777" w:rsidR="006B3E0E" w:rsidRPr="0096474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Drafted shareholder agreements, financing arrangements, and due diligence reports.</w:t>
            </w:r>
          </w:p>
          <w:p w14:paraId="4B0311AD" w14:textId="77777777" w:rsidR="006B3E0E" w:rsidRPr="00964745" w:rsidRDefault="00000000">
            <w:pPr>
              <w:spacing w:before="15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sz w:val="22"/>
                <w:szCs w:val="22"/>
                <w:lang w:val="en-US"/>
              </w:rPr>
              <w:t>Associate</w:t>
            </w:r>
          </w:p>
          <w:p w14:paraId="4FC9F26A" w14:textId="77777777" w:rsidR="006B3E0E" w:rsidRPr="00964745" w:rsidRDefault="00000000">
            <w:pPr>
              <w:spacing w:after="3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Foley Hoag LLP, Boston MA</w:t>
            </w:r>
            <w:r w:rsidRPr="00964745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2007 – 2013</w:t>
            </w:r>
          </w:p>
          <w:p w14:paraId="11659AD0" w14:textId="77777777" w:rsidR="006B3E0E" w:rsidRPr="0096474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Handled corporate governance, SEC filings (10-K, 8-K, proxy), and venture financing.</w:t>
            </w:r>
          </w:p>
          <w:p w14:paraId="01F0C9ED" w14:textId="77777777" w:rsidR="006B3E0E" w:rsidRPr="00964745" w:rsidRDefault="00000000">
            <w:pPr>
              <w:pBdr>
                <w:bottom w:val="single" w:sz="6" w:space="2" w:color="1D3557"/>
              </w:pBdr>
              <w:spacing w:before="20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lang w:val="en-US"/>
              </w:rPr>
              <w:t>EDUCATION</w:t>
            </w:r>
          </w:p>
          <w:p w14:paraId="0D7F2A98" w14:textId="77777777" w:rsidR="006B3E0E" w:rsidRPr="00964745" w:rsidRDefault="00000000">
            <w:pPr>
              <w:spacing w:before="80" w:after="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lang w:val="en-US"/>
              </w:rPr>
              <w:t>J.D. – magna cum laude</w:t>
            </w:r>
          </w:p>
          <w:p w14:paraId="6291C41D" w14:textId="77777777" w:rsidR="006B3E0E" w:rsidRPr="00964745" w:rsidRDefault="00000000">
            <w:pPr>
              <w:spacing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i/>
                <w:iCs/>
                <w:color w:val="888888"/>
                <w:sz w:val="17"/>
                <w:szCs w:val="17"/>
                <w:lang w:val="en-US"/>
              </w:rPr>
              <w:t>Harvard Law School · Law Review Editor · 2007</w:t>
            </w:r>
          </w:p>
          <w:p w14:paraId="0D1D748A" w14:textId="77777777" w:rsidR="006B3E0E" w:rsidRPr="00964745" w:rsidRDefault="00000000">
            <w:pPr>
              <w:spacing w:before="60" w:after="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lang w:val="en-US"/>
              </w:rPr>
              <w:t>LL.M., King's College London</w:t>
            </w:r>
          </w:p>
          <w:p w14:paraId="3E0C8A1B" w14:textId="77777777" w:rsidR="006B3E0E" w:rsidRPr="00964745" w:rsidRDefault="00000000">
            <w:pPr>
              <w:spacing w:after="4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i/>
                <w:iCs/>
                <w:color w:val="888888"/>
                <w:sz w:val="17"/>
                <w:szCs w:val="17"/>
                <w:lang w:val="en-US"/>
              </w:rPr>
              <w:t>2005–2006</w:t>
            </w:r>
          </w:p>
          <w:p w14:paraId="021AFB97" w14:textId="77777777" w:rsidR="006B3E0E" w:rsidRPr="00964745" w:rsidRDefault="00000000">
            <w:pPr>
              <w:spacing w:before="60" w:after="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olor w:val="1D3557"/>
                <w:lang w:val="en-US"/>
              </w:rPr>
              <w:t>B.A. Political Economy, Yale University</w:t>
            </w:r>
          </w:p>
          <w:p w14:paraId="603271CC" w14:textId="77777777" w:rsidR="006B3E0E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888888"/>
                <w:sz w:val="17"/>
                <w:szCs w:val="17"/>
              </w:rPr>
              <w:t>Magna Cum Laude · 2002–2005</w:t>
            </w:r>
          </w:p>
          <w:p w14:paraId="0A4483D2" w14:textId="77777777" w:rsidR="006B3E0E" w:rsidRDefault="006B3E0E">
            <w:pPr>
              <w:spacing w:before="160"/>
            </w:pPr>
          </w:p>
        </w:tc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8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0181B834" w14:textId="77777777" w:rsidR="006B3E0E" w:rsidRPr="00964745" w:rsidRDefault="00000000">
            <w:pPr>
              <w:spacing w:before="16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aps/>
                <w:color w:val="1D3557"/>
                <w:sz w:val="17"/>
                <w:szCs w:val="17"/>
                <w:lang w:val="en-US"/>
              </w:rPr>
              <w:t>PRACTICE AREAS</w:t>
            </w:r>
          </w:p>
          <w:p w14:paraId="68845D1C" w14:textId="77777777" w:rsidR="006B3E0E" w:rsidRPr="00964745" w:rsidRDefault="00000000">
            <w:pPr>
              <w:spacing w:before="44" w:after="44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M&amp;A Transactions</w:t>
            </w:r>
            <w:r w:rsidRPr="00964745">
              <w:rPr>
                <w:rFonts w:ascii="Arial" w:eastAsia="Arial" w:hAnsi="Arial" w:cs="Arial"/>
                <w:color w:val="457B9D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38F4DA2F" w14:textId="77777777" w:rsidR="006B3E0E" w:rsidRPr="00964745" w:rsidRDefault="00000000">
            <w:pPr>
              <w:spacing w:before="44" w:after="44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Corporate Law</w:t>
            </w:r>
            <w:r w:rsidRPr="00964745">
              <w:rPr>
                <w:rFonts w:ascii="Arial" w:eastAsia="Arial" w:hAnsi="Arial" w:cs="Arial"/>
                <w:color w:val="457B9D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2463084E" w14:textId="77777777" w:rsidR="006B3E0E" w:rsidRPr="00964745" w:rsidRDefault="00000000">
            <w:pPr>
              <w:spacing w:before="44" w:after="44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Capital Markets</w:t>
            </w:r>
            <w:r w:rsidRPr="00964745">
              <w:rPr>
                <w:rFonts w:ascii="Arial" w:eastAsia="Arial" w:hAnsi="Arial" w:cs="Arial"/>
                <w:color w:val="457B9D"/>
                <w:sz w:val="14"/>
                <w:szCs w:val="14"/>
                <w:lang w:val="en-US"/>
              </w:rPr>
              <w:t xml:space="preserve">  ■■■■■■■■■</w:t>
            </w:r>
            <w:r w:rsidRPr="00964745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</w:t>
            </w:r>
          </w:p>
          <w:p w14:paraId="064259E7" w14:textId="77777777" w:rsidR="006B3E0E" w:rsidRPr="00964745" w:rsidRDefault="00000000">
            <w:pPr>
              <w:spacing w:before="44" w:after="44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Board Governance</w:t>
            </w:r>
            <w:r w:rsidRPr="00964745">
              <w:rPr>
                <w:rFonts w:ascii="Arial" w:eastAsia="Arial" w:hAnsi="Arial" w:cs="Arial"/>
                <w:color w:val="457B9D"/>
                <w:sz w:val="14"/>
                <w:szCs w:val="14"/>
                <w:lang w:val="en-US"/>
              </w:rPr>
              <w:t xml:space="preserve">  ■■■■■■■■■</w:t>
            </w:r>
            <w:r w:rsidRPr="00964745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</w:t>
            </w:r>
          </w:p>
          <w:p w14:paraId="3A7FA3EC" w14:textId="77777777" w:rsidR="006B3E0E" w:rsidRPr="00964745" w:rsidRDefault="00000000">
            <w:pPr>
              <w:spacing w:before="44" w:after="44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Investor Relations</w:t>
            </w:r>
            <w:r w:rsidRPr="00964745">
              <w:rPr>
                <w:rFonts w:ascii="Arial" w:eastAsia="Arial" w:hAnsi="Arial" w:cs="Arial"/>
                <w:color w:val="457B9D"/>
                <w:sz w:val="14"/>
                <w:szCs w:val="14"/>
                <w:lang w:val="en-US"/>
              </w:rPr>
              <w:t xml:space="preserve">  ■■■■■■■■</w:t>
            </w:r>
            <w:r w:rsidRPr="00964745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□□</w:t>
            </w:r>
          </w:p>
          <w:p w14:paraId="4DC066A1" w14:textId="77777777" w:rsidR="006B3E0E" w:rsidRPr="00964745" w:rsidRDefault="00000000">
            <w:pPr>
              <w:spacing w:before="18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aps/>
                <w:color w:val="1D3557"/>
                <w:sz w:val="17"/>
                <w:szCs w:val="17"/>
                <w:lang w:val="en-US"/>
              </w:rPr>
              <w:t>LANGUAGES</w:t>
            </w:r>
          </w:p>
          <w:p w14:paraId="692E1CC8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English — Native</w:t>
            </w:r>
          </w:p>
          <w:p w14:paraId="29130CE2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French — Fluent</w:t>
            </w:r>
          </w:p>
          <w:p w14:paraId="5AE206FA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German — Intermediate</w:t>
            </w:r>
          </w:p>
          <w:p w14:paraId="2C328C99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Spanish — Basic</w:t>
            </w:r>
          </w:p>
          <w:p w14:paraId="2A489303" w14:textId="77777777" w:rsidR="006B3E0E" w:rsidRPr="00964745" w:rsidRDefault="00000000">
            <w:pPr>
              <w:spacing w:before="18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aps/>
                <w:color w:val="1D3557"/>
                <w:sz w:val="17"/>
                <w:szCs w:val="17"/>
                <w:lang w:val="en-US"/>
              </w:rPr>
              <w:t>BAR &amp; MEMBERSHIPS</w:t>
            </w:r>
          </w:p>
          <w:p w14:paraId="3D3CB43B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Massachusetts Bar (2007)</w:t>
            </w:r>
          </w:p>
          <w:p w14:paraId="5CDB029D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New York Bar (2009)</w:t>
            </w:r>
          </w:p>
          <w:p w14:paraId="5900304D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American Bar Association – M&amp;A Committee</w:t>
            </w:r>
          </w:p>
          <w:p w14:paraId="7749F00E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Audit Committee Member – Raytheon Corp</w:t>
            </w:r>
          </w:p>
          <w:p w14:paraId="6A8B537A" w14:textId="77777777" w:rsidR="006B3E0E" w:rsidRPr="00964745" w:rsidRDefault="00000000">
            <w:pPr>
              <w:spacing w:before="18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aps/>
                <w:color w:val="1D3557"/>
                <w:sz w:val="17"/>
                <w:szCs w:val="17"/>
                <w:lang w:val="en-US"/>
              </w:rPr>
              <w:t>CERTIFICATIONS</w:t>
            </w:r>
          </w:p>
          <w:p w14:paraId="7E0E5C0A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Licensed Attorney – MA &amp; NY Bar</w:t>
            </w:r>
          </w:p>
          <w:p w14:paraId="07EDDAFB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Board Director Certification – NACD</w:t>
            </w:r>
          </w:p>
          <w:p w14:paraId="4AF67FA9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Compliance Institute Member</w:t>
            </w:r>
          </w:p>
          <w:p w14:paraId="6D8C643D" w14:textId="77777777" w:rsidR="006B3E0E" w:rsidRPr="00964745" w:rsidRDefault="00000000">
            <w:pPr>
              <w:spacing w:before="180" w:after="80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b/>
                <w:bCs/>
                <w:caps/>
                <w:color w:val="1D3557"/>
                <w:sz w:val="17"/>
                <w:szCs w:val="17"/>
                <w:lang w:val="en-US"/>
              </w:rPr>
              <w:t>PUBLICATIONS</w:t>
            </w:r>
          </w:p>
          <w:p w14:paraId="3DEE5CF0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 xml:space="preserve">  ▪  "M&amp;A Due Diligence in the US" – Harvard Law Review 2023</w:t>
            </w:r>
          </w:p>
          <w:p w14:paraId="7C7048DD" w14:textId="77777777" w:rsidR="006B3E0E" w:rsidRPr="00964745" w:rsidRDefault="00000000">
            <w:pPr>
              <w:spacing w:before="48" w:after="48"/>
              <w:rPr>
                <w:lang w:val="en-US"/>
              </w:rPr>
            </w:pPr>
            <w:r w:rsidRPr="00964745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 xml:space="preserve">  ▪  "ESG and Director Duties" – American Lawyer 2022</w:t>
            </w:r>
          </w:p>
          <w:p w14:paraId="7AA832C7" w14:textId="77777777" w:rsidR="006B3E0E" w:rsidRPr="00964745" w:rsidRDefault="006B3E0E">
            <w:pPr>
              <w:spacing w:before="200"/>
              <w:rPr>
                <w:lang w:val="en-US"/>
              </w:rPr>
            </w:pPr>
          </w:p>
        </w:tc>
      </w:tr>
    </w:tbl>
    <w:p w14:paraId="1DEA64DA" w14:textId="77777777" w:rsidR="00A523FB" w:rsidRPr="00964745" w:rsidRDefault="00A523FB">
      <w:pPr>
        <w:rPr>
          <w:lang w:val="en-US"/>
        </w:rPr>
      </w:pPr>
    </w:p>
    <w:sectPr w:rsidR="00A523FB" w:rsidRPr="00964745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7C4B"/>
    <w:multiLevelType w:val="hybridMultilevel"/>
    <w:tmpl w:val="5A1C3DB2"/>
    <w:lvl w:ilvl="0" w:tplc="494EBD30">
      <w:start w:val="1"/>
      <w:numFmt w:val="bullet"/>
      <w:lvlText w:val="•"/>
      <w:lvlJc w:val="left"/>
      <w:pPr>
        <w:ind w:left="360" w:hanging="260"/>
      </w:pPr>
    </w:lvl>
    <w:lvl w:ilvl="1" w:tplc="6F2EB44C">
      <w:numFmt w:val="decimal"/>
      <w:lvlText w:val=""/>
      <w:lvlJc w:val="left"/>
    </w:lvl>
    <w:lvl w:ilvl="2" w:tplc="59626A54">
      <w:numFmt w:val="decimal"/>
      <w:lvlText w:val=""/>
      <w:lvlJc w:val="left"/>
    </w:lvl>
    <w:lvl w:ilvl="3" w:tplc="B5367928">
      <w:numFmt w:val="decimal"/>
      <w:lvlText w:val=""/>
      <w:lvlJc w:val="left"/>
    </w:lvl>
    <w:lvl w:ilvl="4" w:tplc="68C4957E">
      <w:numFmt w:val="decimal"/>
      <w:lvlText w:val=""/>
      <w:lvlJc w:val="left"/>
    </w:lvl>
    <w:lvl w:ilvl="5" w:tplc="6F02388A">
      <w:numFmt w:val="decimal"/>
      <w:lvlText w:val=""/>
      <w:lvlJc w:val="left"/>
    </w:lvl>
    <w:lvl w:ilvl="6" w:tplc="7D1C2D88">
      <w:numFmt w:val="decimal"/>
      <w:lvlText w:val=""/>
      <w:lvlJc w:val="left"/>
    </w:lvl>
    <w:lvl w:ilvl="7" w:tplc="16AABF2E">
      <w:numFmt w:val="decimal"/>
      <w:lvlText w:val=""/>
      <w:lvlJc w:val="left"/>
    </w:lvl>
    <w:lvl w:ilvl="8" w:tplc="BE06797C">
      <w:numFmt w:val="decimal"/>
      <w:lvlText w:val=""/>
      <w:lvlJc w:val="left"/>
    </w:lvl>
  </w:abstractNum>
  <w:abstractNum w:abstractNumId="1" w15:restartNumberingAfterBreak="0">
    <w:nsid w:val="6CCF1887"/>
    <w:multiLevelType w:val="hybridMultilevel"/>
    <w:tmpl w:val="5D26E6DC"/>
    <w:lvl w:ilvl="0" w:tplc="26B43636">
      <w:start w:val="1"/>
      <w:numFmt w:val="bullet"/>
      <w:lvlText w:val="●"/>
      <w:lvlJc w:val="left"/>
      <w:pPr>
        <w:ind w:left="720" w:hanging="360"/>
      </w:pPr>
    </w:lvl>
    <w:lvl w:ilvl="1" w:tplc="24F06F4A">
      <w:start w:val="1"/>
      <w:numFmt w:val="bullet"/>
      <w:lvlText w:val="○"/>
      <w:lvlJc w:val="left"/>
      <w:pPr>
        <w:ind w:left="1440" w:hanging="360"/>
      </w:pPr>
    </w:lvl>
    <w:lvl w:ilvl="2" w:tplc="EDB82B1C">
      <w:start w:val="1"/>
      <w:numFmt w:val="bullet"/>
      <w:lvlText w:val="■"/>
      <w:lvlJc w:val="left"/>
      <w:pPr>
        <w:ind w:left="2160" w:hanging="360"/>
      </w:pPr>
    </w:lvl>
    <w:lvl w:ilvl="3" w:tplc="3C18E5E6">
      <w:start w:val="1"/>
      <w:numFmt w:val="bullet"/>
      <w:lvlText w:val="●"/>
      <w:lvlJc w:val="left"/>
      <w:pPr>
        <w:ind w:left="2880" w:hanging="360"/>
      </w:pPr>
    </w:lvl>
    <w:lvl w:ilvl="4" w:tplc="4F642976">
      <w:start w:val="1"/>
      <w:numFmt w:val="bullet"/>
      <w:lvlText w:val="○"/>
      <w:lvlJc w:val="left"/>
      <w:pPr>
        <w:ind w:left="3600" w:hanging="360"/>
      </w:pPr>
    </w:lvl>
    <w:lvl w:ilvl="5" w:tplc="013A763A">
      <w:start w:val="1"/>
      <w:numFmt w:val="bullet"/>
      <w:lvlText w:val="■"/>
      <w:lvlJc w:val="left"/>
      <w:pPr>
        <w:ind w:left="4320" w:hanging="360"/>
      </w:pPr>
    </w:lvl>
    <w:lvl w:ilvl="6" w:tplc="3056C2E2">
      <w:start w:val="1"/>
      <w:numFmt w:val="bullet"/>
      <w:lvlText w:val="●"/>
      <w:lvlJc w:val="left"/>
      <w:pPr>
        <w:ind w:left="5040" w:hanging="360"/>
      </w:pPr>
    </w:lvl>
    <w:lvl w:ilvl="7" w:tplc="02142334">
      <w:start w:val="1"/>
      <w:numFmt w:val="bullet"/>
      <w:lvlText w:val="●"/>
      <w:lvlJc w:val="left"/>
      <w:pPr>
        <w:ind w:left="5760" w:hanging="360"/>
      </w:pPr>
    </w:lvl>
    <w:lvl w:ilvl="8" w:tplc="C9F446DC">
      <w:start w:val="1"/>
      <w:numFmt w:val="bullet"/>
      <w:lvlText w:val="●"/>
      <w:lvlJc w:val="left"/>
      <w:pPr>
        <w:ind w:left="6480" w:hanging="360"/>
      </w:pPr>
    </w:lvl>
  </w:abstractNum>
  <w:num w:numId="1" w16cid:durableId="1464929988">
    <w:abstractNumId w:val="1"/>
    <w:lvlOverride w:ilvl="0">
      <w:startOverride w:val="1"/>
    </w:lvlOverride>
  </w:num>
  <w:num w:numId="2" w16cid:durableId="9841616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0E"/>
    <w:rsid w:val="006B3E0E"/>
    <w:rsid w:val="00964745"/>
    <w:rsid w:val="00A523FB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E933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2026-05-09T16:51:00Z</dcterms:modified>
</cp:coreProperties>
</file>