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532D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0" w:before="20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80"/>
                <w:szCs w:val="80"/>
              </w:rPr>
              <w:t xml:space="preserve">NATHAN BROOKS</w:t>
            </w:r>
          </w:p>
          <w:p>
            <w:pPr>
              <w:spacing w:after="22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86EFAC"/>
                <w:spacing w:val="80"/>
                <w:sz w:val="21"/>
                <w:szCs w:val="21"/>
              </w:rPr>
              <w:t xml:space="preserve">FINANCIAL ANALYST  ·  CFA  ·  INVESTMENT STRATEGY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4532D"/>
                <w:sz w:val="18"/>
                <w:szCs w:val="18"/>
              </w:rPr>
              <w:t xml:space="preserve">✉ nathan.brooks@finance.com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4532D"/>
                <w:sz w:val="18"/>
                <w:szCs w:val="18"/>
              </w:rPr>
              <w:t xml:space="preserve">☎ +1 (312) 555-0344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4532D"/>
                <w:sz w:val="18"/>
                <w:szCs w:val="18"/>
              </w:rPr>
              <w:t xml:space="preserve">⌂ Chicago, IL 60601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4532D"/>
                <w:sz w:val="18"/>
                <w:szCs w:val="18"/>
              </w:rPr>
              <w:t xml:space="preserve">CFA Charter · Series 7 &amp; 63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120" w:before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Results-oriented CFA charterholder with 11 years in investment banking and asset management. Specialised in equity research, portfolio optimisation, and financial modelling for institutional clients.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60"/>
        <w:gridCol w:w="320"/>
        <w:gridCol w:w="5960"/>
      </w:tblGrid>
      <w:tr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20"/>
              <w:left w:type="dxa" w:w="36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21"/>
                <w:szCs w:val="21"/>
              </w:rPr>
              <w:t xml:space="preserve">VP – Investment Banking</w:t>
            </w:r>
          </w:p>
          <w:p>
            <w:pPr>
              <w:spacing w:after="4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Goldman Sachs,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  <w:jc w:val="right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Led $2.4Bn leveraged-buyout origination for PE client.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  <w:jc w:val="right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Managed deal team of 6 analysts over 9 months.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Bdr>
                <w:left w:val="single" w:color="14532D" w:sz="12" w:space="0"/>
              </w:pBd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16"/>
                <w:szCs w:val="16"/>
              </w:rPr>
              <w:t xml:space="preserve">2021</w:t>
            </w:r>
          </w:p>
        </w:tc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  <w:tr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Bdr>
                <w:left w:val="single" w:color="14532D" w:sz="12" w:space="0"/>
              </w:pBd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16"/>
                <w:szCs w:val="16"/>
              </w:rPr>
              <w:t xml:space="preserve">2018</w:t>
            </w:r>
          </w:p>
        </w:tc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36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21"/>
                <w:szCs w:val="21"/>
              </w:rPr>
              <w:t xml:space="preserve">Senior Analyst – Equity Research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Morningstar Inc.,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Covered 34 mid-cap equities; buy calls returned avg 18% alpha.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Published weekly sector reports for 800+ institutions.</w:t>
            </w:r>
          </w:p>
        </w:tc>
      </w:tr>
      <w:tr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120"/>
              <w:left w:type="dxa" w:w="36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21"/>
                <w:szCs w:val="21"/>
              </w:rPr>
              <w:t xml:space="preserve">Financial Analyst</w:t>
            </w:r>
          </w:p>
          <w:p>
            <w:pPr>
              <w:spacing w:after="40" w:before="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JP Morgan, Chicago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  <w:jc w:val="right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Built 3-statement models for 12 M&amp;A transactions.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  <w:jc w:val="right"/>
            </w:pPr>
            <w:r>
              <w:rPr>
                <w:rFonts w:ascii="Calibri" w:cs="Calibri" w:eastAsia="Calibri" w:hAnsi="Calibri"/>
                <w:color w:val="444444"/>
                <w:sz w:val="18"/>
                <w:szCs w:val="18"/>
              </w:rPr>
              <w:t xml:space="preserve">Supported $680M IPO road show — priced at top of range.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Bdr>
                <w:left w:val="single" w:color="14532D" w:sz="12" w:space="0"/>
              </w:pBd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16"/>
                <w:szCs w:val="16"/>
              </w:rPr>
              <w:t xml:space="preserve">2016</w:t>
            </w:r>
          </w:p>
        </w:tc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  <w:tr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Bdr>
                <w:left w:val="single" w:color="14532D" w:sz="12" w:space="0"/>
              </w:pBd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16"/>
                <w:szCs w:val="16"/>
              </w:rPr>
              <w:t xml:space="preserve">2013</w:t>
            </w:r>
          </w:p>
        </w:tc>
        <w:tc>
          <w:tcPr>
            <w:tcW w:type="dxa" w:w="5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200"/>
              <w:bottom w:type="dxa" w:w="120"/>
              <w:right w:type="dxa" w:w="36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4532D"/>
                <w:sz w:val="21"/>
                <w:szCs w:val="21"/>
              </w:rPr>
              <w:t xml:space="preserve">Junior Analyst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7"/>
                <w:szCs w:val="17"/>
              </w:rPr>
              <w:t xml:space="preserve">Baird &amp; Co., Milwaukee WI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DCF and comparable-company analyses for sell-side mandates.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Passed CFA Level III on first attempt during this role.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pBdr>
                <w:bottom w:val="single" w:color="14532D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4532D"/>
                <w:sz w:val="20"/>
                <w:szCs w:val="20"/>
              </w:rPr>
              <w:t xml:space="preserve">CORE 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Financial Modelling </w:t>
            </w:r>
            <w:r>
              <w:rPr>
                <w:rFonts w:ascii="Arial" w:cs="Arial" w:eastAsia="Arial" w:hAnsi="Arial"/>
                <w:color w:val="14532D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Equity Research </w:t>
            </w:r>
            <w:r>
              <w:rPr>
                <w:rFonts w:ascii="Arial" w:cs="Arial" w:eastAsia="Arial" w:hAnsi="Arial"/>
                <w:color w:val="14532D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Portfolio Management </w:t>
            </w:r>
            <w:r>
              <w:rPr>
                <w:rFonts w:ascii="Arial" w:cs="Arial" w:eastAsia="Arial" w:hAnsi="Arial"/>
                <w:color w:val="14532D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M&amp;A Analysis </w:t>
            </w:r>
            <w:r>
              <w:rPr>
                <w:rFonts w:ascii="Arial" w:cs="Arial" w:eastAsia="Arial" w:hAnsi="Arial"/>
                <w:color w:val="14532D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Risk Management </w:t>
            </w:r>
            <w:r>
              <w:rPr>
                <w:rFonts w:ascii="Arial" w:cs="Arial" w:eastAsia="Arial" w:hAnsi="Arial"/>
                <w:color w:val="14532D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pBdr>
                <w:bottom w:val="single" w:color="14532D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4532D"/>
                <w:sz w:val="20"/>
                <w:szCs w:val="20"/>
              </w:rPr>
              <w:t xml:space="preserve">EDUCATION</w:t>
            </w:r>
          </w:p>
          <w:p>
            <w:pPr>
              <w:spacing w:after="8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4532D"/>
                <w:sz w:val="19"/>
                <w:szCs w:val="19"/>
              </w:rPr>
              <w:t xml:space="preserve">CFA Charter Holder (2016)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CFA Institute</w:t>
            </w:r>
          </w:p>
          <w:p>
            <w:pPr>
              <w:spacing w:after="8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4532D"/>
                <w:sz w:val="19"/>
                <w:szCs w:val="19"/>
              </w:rPr>
              <w:t xml:space="preserve">B.S. Finance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University of Illinois · 2013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4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pBdr>
                <w:bottom w:val="single" w:color="14532D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14532D"/>
                <w:sz w:val="20"/>
                <w:szCs w:val="20"/>
              </w:rPr>
              <w:t xml:space="preserve">LANGUAGES &amp; CERTS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English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Spanish — Intermediate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Series 7 &amp; 63 Licensed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Bloomberg Terminal Certified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2026-05-11T10:20:55.839Z</dcterms:created>
  <dcterms:modified xsi:type="dcterms:W3CDTF">2026-05-11T10:20:55.839Z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